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7920D372" w:rsidR="009E7D0C" w:rsidRPr="00B3568A" w:rsidRDefault="00B3568A" w:rsidP="00B3568A">
      <w:pPr>
        <w:jc w:val="center"/>
        <w:rPr>
          <w:rFonts w:ascii="Times New Roman" w:hAnsi="Times New Roman"/>
          <w:sz w:val="24"/>
          <w:szCs w:val="22"/>
        </w:rPr>
      </w:pPr>
      <w:bookmarkStart w:id="0" w:name="_Toc262568021"/>
      <w:bookmarkStart w:id="1" w:name="_Toc295829847"/>
      <w:r>
        <w:rPr>
          <w:rFonts w:ascii="Times New Roman" w:hAnsi="Times New Roman"/>
          <w:sz w:val="24"/>
        </w:rPr>
        <w:t>CS</w:t>
      </w:r>
    </w:p>
    <w:p w14:paraId="2704A83C" w14:textId="77777777" w:rsidR="009E7D0C" w:rsidRPr="00037E7B" w:rsidRDefault="009E7D0C" w:rsidP="00A33695">
      <w:pPr>
        <w:jc w:val="center"/>
        <w:rPr>
          <w:rFonts w:ascii="Times New Roman" w:hAnsi="Times New Roman"/>
          <w:sz w:val="24"/>
        </w:rPr>
      </w:pPr>
    </w:p>
    <w:p w14:paraId="24333E7A" w14:textId="5D6FD9D5" w:rsidR="008D696E" w:rsidRPr="00037E7B" w:rsidRDefault="008D696E" w:rsidP="00A33695">
      <w:pPr>
        <w:jc w:val="center"/>
        <w:rPr>
          <w:rFonts w:ascii="Times New Roman" w:hAnsi="Times New Roman"/>
          <w:sz w:val="24"/>
        </w:rPr>
      </w:pPr>
      <w:r>
        <w:rPr>
          <w:rFonts w:ascii="Times New Roman" w:hAnsi="Times New Roman"/>
          <w:sz w:val="24"/>
        </w:rPr>
        <w:t>PŘÍLOHA II</w:t>
      </w:r>
    </w:p>
    <w:p w14:paraId="37362007" w14:textId="6FB5EC15" w:rsidR="002648B0" w:rsidRPr="00037E7B" w:rsidRDefault="008D696E" w:rsidP="00A33695">
      <w:pPr>
        <w:jc w:val="center"/>
        <w:rPr>
          <w:rFonts w:ascii="Times New Roman" w:hAnsi="Times New Roman"/>
          <w:sz w:val="24"/>
        </w:rPr>
      </w:pPr>
      <w:r>
        <w:rPr>
          <w:rFonts w:ascii="Times New Roman" w:hAnsi="Times New Roman"/>
          <w:sz w:val="24"/>
        </w:rPr>
        <w:t>„PŘÍLOHA II</w:t>
      </w:r>
    </w:p>
    <w:p w14:paraId="327777EC" w14:textId="77777777" w:rsidR="002648B0" w:rsidRPr="00037E7B" w:rsidRDefault="00D11E4C" w:rsidP="00C87CEE">
      <w:pPr>
        <w:jc w:val="center"/>
        <w:rPr>
          <w:rFonts w:ascii="Times New Roman" w:hAnsi="Times New Roman"/>
          <w:b/>
          <w:sz w:val="24"/>
        </w:rPr>
      </w:pPr>
      <w:r>
        <w:rPr>
          <w:rFonts w:ascii="Times New Roman" w:hAnsi="Times New Roman"/>
          <w:b/>
          <w:sz w:val="24"/>
        </w:rPr>
        <w:t>POKYNY PRO PODÁVÁNÍ ZPRÁV O KAPITÁLU A KAPITÁLOVÝCH POŽADAVCÍCH</w:t>
      </w:r>
    </w:p>
    <w:p w14:paraId="2C40683C" w14:textId="77777777" w:rsidR="00436204" w:rsidRPr="00037E7B" w:rsidRDefault="00436204" w:rsidP="00C87CEE">
      <w:pPr>
        <w:jc w:val="center"/>
        <w:rPr>
          <w:rFonts w:ascii="Times New Roman" w:hAnsi="Times New Roman"/>
          <w:b/>
          <w:sz w:val="24"/>
          <w:lang w:eastAsia="de-DE"/>
        </w:rPr>
      </w:pPr>
    </w:p>
    <w:p w14:paraId="7E85F65D" w14:textId="77777777" w:rsidR="002648B0" w:rsidRPr="00037E7B" w:rsidRDefault="002648B0" w:rsidP="00005FFC">
      <w:pPr>
        <w:rPr>
          <w:rFonts w:ascii="Times New Roman" w:hAnsi="Times New Roman"/>
          <w:sz w:val="24"/>
        </w:rPr>
      </w:pPr>
    </w:p>
    <w:p w14:paraId="74494658" w14:textId="77777777" w:rsidR="002648B0" w:rsidRPr="00037E7B" w:rsidRDefault="002648B0" w:rsidP="00D64B66">
      <w:pPr>
        <w:pStyle w:val="Heading2"/>
        <w:rPr>
          <w:rFonts w:ascii="Times New Roman" w:hAnsi="Times New Roman"/>
        </w:rPr>
      </w:pPr>
      <w:bookmarkStart w:id="2" w:name="_Toc360188322"/>
      <w:bookmarkStart w:id="3" w:name="_Toc473560870"/>
      <w:bookmarkStart w:id="4" w:name="_Toc151714358"/>
      <w:r>
        <w:rPr>
          <w:rFonts w:ascii="Times New Roman" w:hAnsi="Times New Roman"/>
        </w:rPr>
        <w:t>ČÁST II: POKYNY K VYPLŇOVÁNÍ ŠABLONY</w:t>
      </w:r>
      <w:bookmarkEnd w:id="2"/>
      <w:bookmarkEnd w:id="3"/>
      <w:bookmarkEnd w:id="4"/>
    </w:p>
    <w:p w14:paraId="76BE57B6" w14:textId="77777777" w:rsidR="00964546" w:rsidRPr="00037E7B" w:rsidRDefault="00964546" w:rsidP="00964546">
      <w:pPr>
        <w:rPr>
          <w:lang w:eastAsia="x-none"/>
        </w:rPr>
      </w:pPr>
    </w:p>
    <w:p w14:paraId="31A06314" w14:textId="70B4B7D9" w:rsidR="00964546" w:rsidRPr="00037E7B" w:rsidRDefault="00964546" w:rsidP="00964546">
      <w:r>
        <w:t>(…)</w:t>
      </w:r>
    </w:p>
    <w:p w14:paraId="607D2E45" w14:textId="2ECC5240" w:rsidR="00AB3069" w:rsidRPr="00037E7B" w:rsidRDefault="003E6AEB" w:rsidP="000059B8">
      <w:pPr>
        <w:pStyle w:val="Instructionsberschrift2"/>
        <w:numPr>
          <w:ilvl w:val="0"/>
          <w:numId w:val="0"/>
        </w:numPr>
        <w:ind w:left="357" w:hanging="357"/>
      </w:pPr>
      <w:bookmarkStart w:id="5" w:name="_Toc151714534"/>
      <w:bookmarkEnd w:id="0"/>
      <w:bookmarkEnd w:id="1"/>
      <w:r>
        <w:rPr>
          <w:rFonts w:ascii="Times New Roman" w:hAnsi="Times New Roman"/>
          <w:sz w:val="24"/>
        </w:rPr>
        <w:t xml:space="preserve">9. Prahové hodnoty pro obchodní portfolio a tržní riziko, hranice mezi obchodním a investičním portfoliem a </w:t>
      </w:r>
      <w:proofErr w:type="spellStart"/>
      <w:r>
        <w:rPr>
          <w:rFonts w:ascii="Times New Roman" w:hAnsi="Times New Roman"/>
          <w:sz w:val="24"/>
        </w:rPr>
        <w:t>reklasifikace</w:t>
      </w:r>
      <w:bookmarkEnd w:id="5"/>
      <w:proofErr w:type="spellEnd"/>
    </w:p>
    <w:p w14:paraId="1FF5D1DF" w14:textId="6D23ED0F" w:rsidR="00A4497F" w:rsidRPr="00037E7B"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Pr>
          <w:rFonts w:ascii="Times New Roman" w:hAnsi="Times New Roman"/>
          <w:sz w:val="24"/>
        </w:rPr>
        <w:t>9.1</w:t>
      </w:r>
      <w:r>
        <w:tab/>
      </w:r>
      <w:bookmarkEnd w:id="6"/>
      <w:r>
        <w:rPr>
          <w:rFonts w:ascii="Times New Roman" w:hAnsi="Times New Roman"/>
          <w:sz w:val="24"/>
        </w:rPr>
        <w:t>C 90.00 – Prahové hodnoty pro obchodní portfolio a tržní riziko</w:t>
      </w:r>
      <w:bookmarkEnd w:id="7"/>
      <w:bookmarkEnd w:id="8"/>
      <w:r w:rsidR="00E30343">
        <w:rPr>
          <w:rFonts w:ascii="Times New Roman" w:hAnsi="Times New Roman"/>
          <w:sz w:val="24"/>
        </w:rPr>
        <w:t xml:space="preserve"> (</w:t>
      </w:r>
      <w:r>
        <w:rPr>
          <w:rFonts w:ascii="Times New Roman" w:hAnsi="Times New Roman"/>
          <w:sz w:val="24"/>
        </w:rPr>
        <w:t>T</w:t>
      </w:r>
      <w:r w:rsidR="00E30343">
        <w:rPr>
          <w:rFonts w:ascii="Times New Roman" w:hAnsi="Times New Roman"/>
          <w:sz w:val="24"/>
        </w:rPr>
        <w:t>BT)</w:t>
      </w:r>
    </w:p>
    <w:p w14:paraId="458F8B64"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9" w:name="_Toc151714536"/>
      <w:r>
        <w:rPr>
          <w:rFonts w:ascii="Times New Roman" w:hAnsi="Times New Roman"/>
          <w:sz w:val="24"/>
          <w:u w:val="none"/>
        </w:rPr>
        <w:t>9.1.1</w:t>
      </w:r>
      <w:r>
        <w:tab/>
      </w:r>
      <w:r>
        <w:rPr>
          <w:rFonts w:ascii="Times New Roman" w:hAnsi="Times New Roman"/>
          <w:sz w:val="24"/>
          <w:u w:val="none"/>
        </w:rPr>
        <w:t>Obecné poznámky</w:t>
      </w:r>
    </w:p>
    <w:p w14:paraId="2EE35BE9" w14:textId="77777777" w:rsidR="00F65FA6" w:rsidRPr="00037E7B" w:rsidRDefault="00F65FA6" w:rsidP="00F65FA6">
      <w:pPr>
        <w:pStyle w:val="InstructionsText2"/>
        <w:numPr>
          <w:ilvl w:val="0"/>
          <w:numId w:val="61"/>
        </w:numPr>
        <w:spacing w:line="259" w:lineRule="auto"/>
      </w:pPr>
      <w:r>
        <w:t>Informace uvedené v této šabloně odrážejí výsledek výpočtu uvedeného v článku 94 nařízení (EU) č. 575/2013 (výjimka pro malá obchodní portfolia) a objem rozvahových a podrozvahových položek instituce vystavených tržnímu riziku vypočtený v souladu s článkem 325a nařízení (EU) č. 575/2013.</w:t>
      </w:r>
    </w:p>
    <w:p w14:paraId="6349D8A7"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10" w:name="_Toc37168638"/>
      <w:r>
        <w:rPr>
          <w:rFonts w:ascii="Times New Roman" w:hAnsi="Times New Roman"/>
          <w:sz w:val="24"/>
          <w:u w:val="none"/>
        </w:rPr>
        <w:t>9.1.2</w:t>
      </w:r>
      <w:r>
        <w:tab/>
      </w:r>
      <w:r>
        <w:rPr>
          <w:rFonts w:ascii="Times New Roman" w:hAnsi="Times New Roman"/>
          <w:sz w:val="24"/>
          <w:u w:val="none"/>
        </w:rPr>
        <w:t>Pokyny pro konkrétní pozice</w:t>
      </w:r>
      <w:bookmarkEnd w:id="10"/>
    </w:p>
    <w:p w14:paraId="230964CC" w14:textId="77777777" w:rsidR="00F65FA6" w:rsidRPr="00037E7B" w:rsidRDefault="00F65FA6" w:rsidP="00F65FA6">
      <w:pPr>
        <w:pStyle w:val="InstructionsText2"/>
        <w:numPr>
          <w:ilvl w:val="0"/>
          <w:numId w:val="61"/>
        </w:numPr>
        <w:spacing w:line="259" w:lineRule="auto"/>
      </w:pPr>
      <w:r>
        <w:t>Výsledek výpočtu uvedeného v článku 94 nařízení (EU) č. 575/2013 a informace o objemu rozvahových a podrozvahových položek instituce vystavených tržnímu riziku vypočteném v souladu s článkem 325a nařízení (EU) č. 575/2013 se vykazují zvlášť ke konci každého měsíce čtvrtletí, jehož se zpráva týká, v řádcích 0010 až 0030.</w:t>
      </w:r>
    </w:p>
    <w:tbl>
      <w:tblPr>
        <w:tblStyle w:val="TableGrid"/>
        <w:tblW w:w="0" w:type="auto"/>
        <w:tblLook w:val="04A0" w:firstRow="1" w:lastRow="0" w:firstColumn="1" w:lastColumn="0" w:noHBand="0" w:noVBand="1"/>
      </w:tblPr>
      <w:tblGrid>
        <w:gridCol w:w="1063"/>
        <w:gridCol w:w="7953"/>
      </w:tblGrid>
      <w:tr w:rsidR="00F65FA6" w:rsidRPr="00037E7B" w14:paraId="7A8AE764" w14:textId="77777777" w:rsidTr="00E02007">
        <w:tc>
          <w:tcPr>
            <w:tcW w:w="1063" w:type="dxa"/>
            <w:shd w:val="clear" w:color="auto" w:fill="BFBFBF" w:themeFill="background1" w:themeFillShade="BF"/>
          </w:tcPr>
          <w:p w14:paraId="3A6CAFB1"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Řádek</w:t>
            </w:r>
          </w:p>
        </w:tc>
        <w:tc>
          <w:tcPr>
            <w:tcW w:w="7953" w:type="dxa"/>
            <w:shd w:val="clear" w:color="auto" w:fill="BFBFBF" w:themeFill="background1" w:themeFillShade="BF"/>
          </w:tcPr>
          <w:p w14:paraId="769CDB03"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Odkazy na právní předpisy a pokyny</w:t>
            </w:r>
          </w:p>
        </w:tc>
      </w:tr>
      <w:tr w:rsidR="00F65FA6" w:rsidRPr="00037E7B" w14:paraId="3355BF5A" w14:textId="77777777" w:rsidTr="00E02007">
        <w:tc>
          <w:tcPr>
            <w:tcW w:w="1063" w:type="dxa"/>
          </w:tcPr>
          <w:p w14:paraId="3DDBD759"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53" w:type="dxa"/>
          </w:tcPr>
          <w:p w14:paraId="35E13A1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Měsíc 3</w:t>
            </w:r>
          </w:p>
          <w:p w14:paraId="1C7E462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Údaje k poslednímu dni třetího měsíce čtvrtletí, jehož se zpráva týká.</w:t>
            </w:r>
          </w:p>
        </w:tc>
      </w:tr>
      <w:tr w:rsidR="00F65FA6" w:rsidRPr="00037E7B" w14:paraId="7B4ADC45" w14:textId="77777777" w:rsidTr="00E02007">
        <w:tc>
          <w:tcPr>
            <w:tcW w:w="1063" w:type="dxa"/>
          </w:tcPr>
          <w:p w14:paraId="7B9AA53A"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w:t>
            </w:r>
          </w:p>
        </w:tc>
        <w:tc>
          <w:tcPr>
            <w:tcW w:w="7953" w:type="dxa"/>
          </w:tcPr>
          <w:p w14:paraId="76C1917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Měsíc 2</w:t>
            </w:r>
          </w:p>
          <w:p w14:paraId="7AF7462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Údaje k poslednímu dni druhého měsíce čtvrtletí, jehož se zpráva týká.</w:t>
            </w:r>
          </w:p>
        </w:tc>
      </w:tr>
      <w:tr w:rsidR="00F65FA6" w:rsidRPr="00037E7B" w14:paraId="3D6489DB" w14:textId="77777777" w:rsidTr="00E02007">
        <w:tc>
          <w:tcPr>
            <w:tcW w:w="1063" w:type="dxa"/>
          </w:tcPr>
          <w:p w14:paraId="01F1336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53" w:type="dxa"/>
          </w:tcPr>
          <w:p w14:paraId="1D4D1B3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Měsíc 1</w:t>
            </w:r>
          </w:p>
          <w:p w14:paraId="321A7E1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Údaje k poslednímu dni prvního měsíce čtvrtletí, jehož se zpráva týká.</w:t>
            </w:r>
          </w:p>
        </w:tc>
      </w:tr>
    </w:tbl>
    <w:p w14:paraId="55096B4D" w14:textId="77777777" w:rsidR="00F65FA6" w:rsidRPr="00037E7B" w:rsidRDefault="00F65FA6" w:rsidP="00F65FA6"/>
    <w:tbl>
      <w:tblPr>
        <w:tblStyle w:val="TableGrid"/>
        <w:tblW w:w="0" w:type="auto"/>
        <w:tblLook w:val="04A0" w:firstRow="1" w:lastRow="0" w:firstColumn="1" w:lastColumn="0" w:noHBand="0" w:noVBand="1"/>
      </w:tblPr>
      <w:tblGrid>
        <w:gridCol w:w="1043"/>
        <w:gridCol w:w="7973"/>
      </w:tblGrid>
      <w:tr w:rsidR="00F65FA6" w:rsidRPr="00037E7B" w14:paraId="6AF8CFCD" w14:textId="77777777" w:rsidTr="00E02007">
        <w:tc>
          <w:tcPr>
            <w:tcW w:w="1043" w:type="dxa"/>
            <w:shd w:val="clear" w:color="auto" w:fill="BFBFBF" w:themeFill="background1" w:themeFillShade="BF"/>
          </w:tcPr>
          <w:p w14:paraId="65665385"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Sloupec</w:t>
            </w:r>
          </w:p>
        </w:tc>
        <w:tc>
          <w:tcPr>
            <w:tcW w:w="7973" w:type="dxa"/>
            <w:shd w:val="clear" w:color="auto" w:fill="BFBFBF" w:themeFill="background1" w:themeFillShade="BF"/>
          </w:tcPr>
          <w:p w14:paraId="219EFA66"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Odkazy na právní předpisy a pokyny</w:t>
            </w:r>
          </w:p>
        </w:tc>
      </w:tr>
      <w:tr w:rsidR="00F65FA6" w:rsidRPr="00037E7B" w14:paraId="57E5CA86" w14:textId="77777777" w:rsidTr="00E02007">
        <w:tc>
          <w:tcPr>
            <w:tcW w:w="1043" w:type="dxa"/>
          </w:tcPr>
          <w:p w14:paraId="6648E6E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lastRenderedPageBreak/>
              <w:t>0010</w:t>
            </w:r>
          </w:p>
        </w:tc>
        <w:tc>
          <w:tcPr>
            <w:tcW w:w="7973" w:type="dxa"/>
          </w:tcPr>
          <w:p w14:paraId="15CE25E0"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Rozvahové a podrozvahové položky vystavené tržnímu riziku</w:t>
            </w:r>
          </w:p>
          <w:p w14:paraId="208FB79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Ustanovení čl. 325a odst. 2 nařízení (EU) č. 575/2013.</w:t>
            </w:r>
          </w:p>
          <w:p w14:paraId="44825AE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Instituce vykazují absolutní hodnotu svých rozvahových a podrozvahových položek vystavených tržnímu riziku vypočítanou v souladu s čl. 325a odst. 2 nařízení (EU) č. 575/2013. </w:t>
            </w:r>
          </w:p>
        </w:tc>
      </w:tr>
      <w:tr w:rsidR="00F65FA6" w:rsidRPr="00037E7B" w14:paraId="5EBC2E16" w14:textId="77777777" w:rsidTr="00E02007">
        <w:tc>
          <w:tcPr>
            <w:tcW w:w="1043" w:type="dxa"/>
          </w:tcPr>
          <w:p w14:paraId="25974D86"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0020–0060</w:t>
            </w:r>
          </w:p>
        </w:tc>
        <w:tc>
          <w:tcPr>
            <w:tcW w:w="7973" w:type="dxa"/>
          </w:tcPr>
          <w:p w14:paraId="3885D529"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Členění podle regulatorního portfolia</w:t>
            </w:r>
          </w:p>
          <w:p w14:paraId="014F6AA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Rozvahové a podrozvahové položky vystavené tržnímu riziku jsou rozděleny podle obchodního a investičního portfolia. </w:t>
            </w:r>
          </w:p>
        </w:tc>
      </w:tr>
      <w:tr w:rsidR="00F65FA6" w:rsidRPr="00037E7B" w14:paraId="5E57F79B" w14:textId="77777777" w:rsidTr="00E02007">
        <w:tc>
          <w:tcPr>
            <w:tcW w:w="1043" w:type="dxa"/>
          </w:tcPr>
          <w:p w14:paraId="7440E785"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0020–0040</w:t>
            </w:r>
          </w:p>
        </w:tc>
        <w:tc>
          <w:tcPr>
            <w:tcW w:w="7973" w:type="dxa"/>
          </w:tcPr>
          <w:p w14:paraId="78FEC356"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Obchodní portfolio</w:t>
            </w:r>
          </w:p>
          <w:p w14:paraId="6098BB5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Pozice v obchodním portfoliu, které jsou zařazeny do výpočtu podle čl. 325a odst. 2 nařízení (EU) č. 575/2013.</w:t>
            </w:r>
          </w:p>
        </w:tc>
      </w:tr>
      <w:tr w:rsidR="00F65FA6" w:rsidRPr="00037E7B" w14:paraId="63198C07" w14:textId="77777777" w:rsidTr="00E02007">
        <w:tc>
          <w:tcPr>
            <w:tcW w:w="1043" w:type="dxa"/>
          </w:tcPr>
          <w:p w14:paraId="6FC2F0F0"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0030–0040</w:t>
            </w:r>
          </w:p>
        </w:tc>
        <w:tc>
          <w:tcPr>
            <w:tcW w:w="7973" w:type="dxa"/>
          </w:tcPr>
          <w:p w14:paraId="24A21C27" w14:textId="7C80054A"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 xml:space="preserve">z toho: </w:t>
            </w:r>
            <w:r w:rsidR="00E30343">
              <w:rPr>
                <w:rFonts w:ascii="Times New Roman" w:hAnsi="Times New Roman"/>
                <w:b/>
                <w:u w:val="single"/>
              </w:rPr>
              <w:t>položky zahrnuté do obchodního portfolia</w:t>
            </w:r>
            <w:r>
              <w:rPr>
                <w:rFonts w:ascii="Times New Roman" w:hAnsi="Times New Roman"/>
                <w:b/>
                <w:u w:val="single"/>
              </w:rPr>
              <w:t xml:space="preserve"> pro účely článku 94 nařízení (EU) č. 575/2013</w:t>
            </w:r>
          </w:p>
          <w:p w14:paraId="7A1ECC7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Ustanovení čl. 94 odst. 3 nařízení (EU) č. 575/2013.</w:t>
            </w:r>
          </w:p>
          <w:p w14:paraId="0A9722A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Podle čl. 94 odst. 3 písm. b) nařízení (EU) č. 575/2013 vykazují instituce tržní hodnoty k poslednímu dni v měsíci; nejsou-li tržní hodnoty k dispozici, vykazují instituce reálné hodnoty k témuž datu, nebo nejsou-li k danému datu k dispozici ani tržní, ani reálné hodnoty, vykazují poslední dostupnou tržní nebo reálnou hodnotu. </w:t>
            </w:r>
          </w:p>
        </w:tc>
      </w:tr>
      <w:tr w:rsidR="00F65FA6" w:rsidRPr="00037E7B" w14:paraId="1BA6F191" w14:textId="77777777" w:rsidTr="00E02007">
        <w:tc>
          <w:tcPr>
            <w:tcW w:w="1043" w:type="dxa"/>
          </w:tcPr>
          <w:p w14:paraId="661DD2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73" w:type="dxa"/>
          </w:tcPr>
          <w:p w14:paraId="21157FFD"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Celkem</w:t>
            </w:r>
          </w:p>
          <w:p w14:paraId="50DBCCC0"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Ustanovení čl. 94 odst. 3 nařízení (EU) č. 575/2013.</w:t>
            </w:r>
          </w:p>
          <w:p w14:paraId="1B4AB24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Absolutní hodnota dlouhých a krátkých pozic se sečte podle požadavku čl. 94 odst. 3 písm. c) nařízení (EU) č. 575/2013.</w:t>
            </w:r>
          </w:p>
        </w:tc>
      </w:tr>
      <w:tr w:rsidR="00F65FA6" w:rsidRPr="00037E7B" w14:paraId="39EFF6D7" w14:textId="77777777" w:rsidTr="00E02007">
        <w:tc>
          <w:tcPr>
            <w:tcW w:w="1043" w:type="dxa"/>
          </w:tcPr>
          <w:p w14:paraId="6E8E06FD"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0040</w:t>
            </w:r>
          </w:p>
        </w:tc>
        <w:tc>
          <w:tcPr>
            <w:tcW w:w="7973" w:type="dxa"/>
          </w:tcPr>
          <w:p w14:paraId="59AF046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V % celkových aktiv</w:t>
            </w:r>
          </w:p>
          <w:p w14:paraId="2A48E439"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Ustanovení čl. 94 odst. 1 písm. a) nařízení (EU) č. 575/2013.</w:t>
            </w:r>
          </w:p>
          <w:p w14:paraId="49681B6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Objem obchodního portfolia pro účely článku 94 nařízení (EU) č. 575/2013 se </w:t>
            </w:r>
            <w:proofErr w:type="gramStart"/>
            <w:r>
              <w:rPr>
                <w:rFonts w:ascii="Times New Roman" w:hAnsi="Times New Roman"/>
              </w:rPr>
              <w:t>vyjádří</w:t>
            </w:r>
            <w:proofErr w:type="gramEnd"/>
            <w:r>
              <w:rPr>
                <w:rFonts w:ascii="Times New Roman" w:hAnsi="Times New Roman"/>
              </w:rPr>
              <w:t xml:space="preserve"> jako procentní podíl celkových aktiv.</w:t>
            </w:r>
          </w:p>
        </w:tc>
      </w:tr>
      <w:tr w:rsidR="00F65FA6" w:rsidRPr="00037E7B" w14:paraId="2C1E41CE" w14:textId="77777777" w:rsidTr="00E02007">
        <w:tc>
          <w:tcPr>
            <w:tcW w:w="1043" w:type="dxa"/>
          </w:tcPr>
          <w:p w14:paraId="45DD6754"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0050–0060</w:t>
            </w:r>
          </w:p>
        </w:tc>
        <w:tc>
          <w:tcPr>
            <w:tcW w:w="7973" w:type="dxa"/>
          </w:tcPr>
          <w:p w14:paraId="59D1D775"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 xml:space="preserve">Investiční portfolio </w:t>
            </w:r>
          </w:p>
          <w:p w14:paraId="62438A7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Pozice v investičním portfoliu zahrnuté do výpočtu podle čl. 325a odst. 2 nařízení (EU) č. 575/2013</w:t>
            </w:r>
          </w:p>
          <w:p w14:paraId="5423740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Instituce vykazují pozice v investičním portfoliu vystavené tržnímu riziku v členění na pozice vystavené měnovému riziku a pozice vystavené komoditnímu riziku.</w:t>
            </w:r>
          </w:p>
          <w:p w14:paraId="6F2651D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Příslušné částky se </w:t>
            </w:r>
            <w:proofErr w:type="gramStart"/>
            <w:r>
              <w:rPr>
                <w:rFonts w:ascii="Times New Roman" w:hAnsi="Times New Roman"/>
              </w:rPr>
              <w:t>určí</w:t>
            </w:r>
            <w:proofErr w:type="gramEnd"/>
            <w:r>
              <w:rPr>
                <w:rFonts w:ascii="Times New Roman" w:hAnsi="Times New Roman"/>
              </w:rPr>
              <w:t xml:space="preserve"> v souladu s čl. 325a odst. 2 písm. d) a e) nařízení (EU) č. 575/2013. </w:t>
            </w:r>
          </w:p>
        </w:tc>
      </w:tr>
      <w:tr w:rsidR="00F65FA6" w:rsidRPr="00037E7B" w14:paraId="15FBA6A1" w14:textId="77777777" w:rsidTr="00E02007">
        <w:tc>
          <w:tcPr>
            <w:tcW w:w="1043" w:type="dxa"/>
          </w:tcPr>
          <w:p w14:paraId="1FCF45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0070</w:t>
            </w:r>
          </w:p>
        </w:tc>
        <w:tc>
          <w:tcPr>
            <w:tcW w:w="7973" w:type="dxa"/>
          </w:tcPr>
          <w:p w14:paraId="6D9E3BF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V % celkových aktiv</w:t>
            </w:r>
          </w:p>
          <w:p w14:paraId="6A6F8AC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Ustanovení čl. 325a odst. 1 písm. a) nařízení (EU) č. 575/2013.</w:t>
            </w:r>
          </w:p>
          <w:p w14:paraId="542B237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lastRenderedPageBreak/>
              <w:t xml:space="preserve">Objem rozvahových a podrozvahových položek vystavených tržnímu riziku se </w:t>
            </w:r>
            <w:proofErr w:type="gramStart"/>
            <w:r>
              <w:rPr>
                <w:rFonts w:ascii="Times New Roman" w:hAnsi="Times New Roman"/>
              </w:rPr>
              <w:t>vyjádří</w:t>
            </w:r>
            <w:proofErr w:type="gramEnd"/>
            <w:r>
              <w:rPr>
                <w:rFonts w:ascii="Times New Roman" w:hAnsi="Times New Roman"/>
              </w:rPr>
              <w:t xml:space="preserve"> jako procentní podíl celkových aktiv.</w:t>
            </w:r>
          </w:p>
        </w:tc>
      </w:tr>
      <w:tr w:rsidR="00F65FA6" w:rsidRPr="00037E7B" w14:paraId="74752559" w14:textId="77777777" w:rsidTr="00E02007">
        <w:tc>
          <w:tcPr>
            <w:tcW w:w="1043" w:type="dxa"/>
          </w:tcPr>
          <w:p w14:paraId="72343CA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lastRenderedPageBreak/>
              <w:t>0080</w:t>
            </w:r>
          </w:p>
        </w:tc>
        <w:tc>
          <w:tcPr>
            <w:tcW w:w="7973" w:type="dxa"/>
          </w:tcPr>
          <w:p w14:paraId="5907245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Celková aktiva</w:t>
            </w:r>
          </w:p>
          <w:p w14:paraId="020AD40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Ustanovení čl. 94 odst. 1 písm. a) a čl. 325a odst. 1 písm. a) nařízení (EU) č. 575/2013</w:t>
            </w:r>
          </w:p>
        </w:tc>
      </w:tr>
    </w:tbl>
    <w:p w14:paraId="2C563A95" w14:textId="77777777" w:rsidR="00F65FA6" w:rsidRPr="00037E7B" w:rsidRDefault="00F65FA6" w:rsidP="00F65FA6">
      <w:pPr>
        <w:rPr>
          <w:rFonts w:ascii="Times New Roman" w:hAnsi="Times New Roman"/>
          <w:sz w:val="24"/>
        </w:rPr>
      </w:pPr>
    </w:p>
    <w:p w14:paraId="3D64E99A" w14:textId="053F6133" w:rsidR="00AB3069" w:rsidRPr="00037E7B" w:rsidRDefault="003E6AEB" w:rsidP="000059B8">
      <w:pPr>
        <w:pStyle w:val="Instructionsberschrift2"/>
        <w:numPr>
          <w:ilvl w:val="0"/>
          <w:numId w:val="0"/>
        </w:numPr>
        <w:ind w:left="357" w:hanging="357"/>
      </w:pPr>
      <w:r>
        <w:rPr>
          <w:rFonts w:ascii="Times New Roman" w:hAnsi="Times New Roman"/>
          <w:sz w:val="24"/>
        </w:rPr>
        <w:t>9.2 Hranice mezi obchodním a investičním portfoliem (BOU)</w:t>
      </w:r>
      <w:bookmarkEnd w:id="9"/>
    </w:p>
    <w:p w14:paraId="2D9236ED" w14:textId="27F33E1C" w:rsidR="009B2CA6" w:rsidRPr="00037E7B" w:rsidRDefault="00A5627D" w:rsidP="009B2CA6">
      <w:pPr>
        <w:pStyle w:val="Instructionsberschrift2"/>
        <w:numPr>
          <w:ilvl w:val="0"/>
          <w:numId w:val="0"/>
        </w:numPr>
        <w:ind w:left="357" w:hanging="357"/>
        <w:rPr>
          <w:rFonts w:ascii="Times New Roman" w:hAnsi="Times New Roman" w:cs="Times New Roman"/>
          <w:sz w:val="24"/>
        </w:rPr>
      </w:pPr>
      <w:bookmarkStart w:id="11" w:name="_Toc151714537"/>
      <w:r>
        <w:rPr>
          <w:rFonts w:ascii="Times New Roman" w:hAnsi="Times New Roman"/>
          <w:sz w:val="24"/>
        </w:rPr>
        <w:t>9.2.1</w:t>
      </w:r>
      <w:r>
        <w:tab/>
      </w:r>
      <w:r>
        <w:rPr>
          <w:rFonts w:ascii="Times New Roman" w:hAnsi="Times New Roman"/>
          <w:sz w:val="24"/>
        </w:rPr>
        <w:t>Obecné poznámky</w:t>
      </w:r>
      <w:bookmarkEnd w:id="11"/>
    </w:p>
    <w:p w14:paraId="5D51F5A4" w14:textId="105C86A5" w:rsidR="009B2CA6" w:rsidRPr="00037E7B" w:rsidRDefault="000B3833" w:rsidP="00660845">
      <w:pPr>
        <w:pStyle w:val="InstructionsText2"/>
        <w:numPr>
          <w:ilvl w:val="0"/>
          <w:numId w:val="0"/>
        </w:numPr>
      </w:pPr>
      <w:r>
        <w:t xml:space="preserve">209a. Tato šablona se použije k poskytnutí informací o složení obchodního portfolia (BOU1) s ohledem na předpoklady pro zahrnutí nástrojů do portfolií stanovené v článku 104 nařízení (EU) č. 575/2013. </w:t>
      </w:r>
    </w:p>
    <w:p w14:paraId="6EE2D450" w14:textId="77777777" w:rsidR="00015197" w:rsidRPr="00037E7B" w:rsidRDefault="00A5627D" w:rsidP="009B2CA6">
      <w:pPr>
        <w:pStyle w:val="Instructionsberschrift2"/>
        <w:numPr>
          <w:ilvl w:val="0"/>
          <w:numId w:val="0"/>
        </w:numPr>
        <w:ind w:left="357" w:hanging="357"/>
        <w:rPr>
          <w:rFonts w:ascii="Times New Roman" w:hAnsi="Times New Roman" w:cs="Times New Roman"/>
          <w:sz w:val="24"/>
        </w:rPr>
      </w:pPr>
      <w:bookmarkStart w:id="12" w:name="_Toc151714538"/>
      <w:r>
        <w:rPr>
          <w:rFonts w:ascii="Times New Roman" w:hAnsi="Times New Roman"/>
          <w:sz w:val="24"/>
        </w:rPr>
        <w:t>9.2.2</w:t>
      </w:r>
      <w:r>
        <w:tab/>
      </w:r>
      <w:r>
        <w:rPr>
          <w:rFonts w:ascii="Times New Roman" w:hAnsi="Times New Roman"/>
          <w:sz w:val="24"/>
        </w:rPr>
        <w:t>C 90.05 – Hranice: Obchodní portfolio (BOU1)</w:t>
      </w:r>
      <w:bookmarkEnd w:id="12"/>
    </w:p>
    <w:p w14:paraId="642D4D18" w14:textId="1B329C57" w:rsidR="00015197" w:rsidRPr="00037E7B" w:rsidRDefault="00015197" w:rsidP="009B2CA6">
      <w:pPr>
        <w:pStyle w:val="Instructionsberschrift2"/>
        <w:numPr>
          <w:ilvl w:val="0"/>
          <w:numId w:val="0"/>
        </w:numPr>
        <w:ind w:left="357" w:hanging="357"/>
        <w:rPr>
          <w:rFonts w:ascii="Times New Roman" w:hAnsi="Times New Roman" w:cs="Times New Roman"/>
          <w:sz w:val="24"/>
        </w:rPr>
      </w:pPr>
      <w:bookmarkStart w:id="13" w:name="_Toc151714539"/>
      <w:r>
        <w:rPr>
          <w:rFonts w:ascii="Times New Roman" w:hAnsi="Times New Roman"/>
          <w:sz w:val="24"/>
        </w:rPr>
        <w:t>9.2.2.1 Obecné poznámky</w:t>
      </w:r>
      <w:bookmarkEnd w:id="13"/>
    </w:p>
    <w:p w14:paraId="4E94C71F" w14:textId="73207B56" w:rsidR="00D87969" w:rsidRPr="00037E7B" w:rsidRDefault="000B3833" w:rsidP="00D53CED">
      <w:pPr>
        <w:pStyle w:val="InstructionsText2"/>
        <w:numPr>
          <w:ilvl w:val="0"/>
          <w:numId w:val="0"/>
        </w:numPr>
        <w:rPr>
          <w:noProof/>
        </w:rPr>
      </w:pPr>
      <w:r>
        <w:t>209b. Instituce vykazují v této šabloně všechny pozice zařazené do obchodního portfolia podle čl. 4 odst. 1 bodu 85 nařízení (EU) č. 575/2013, s výjimkou nástrojů a pozic vyloučených z výpočtu prahové hodnoty podle článku 325a nařízení (EU) č. 575/2013. 209c. Odchylně od čl. 21 odst. 1 písm. a) nařízení (EU) 2021/451 vykazují instituce nulu v řádcích 0010 a 0020 sloupci 0020 („Povinně v obchodním portfoliu“), 0130 („Nástroje zahrnuté do obchodního portfolia se svolením příslušného orgánu“: Nástroje v hedgeových fondech“) a 0140 („Ostatní nástroje“), pokud jejich obchodní portfolio neobsahuje žádný nástroj odpovídající popisu příslušné buňky.</w:t>
      </w:r>
    </w:p>
    <w:p w14:paraId="032CBDD2" w14:textId="553C54FC" w:rsidR="00056154" w:rsidRPr="00037E7B" w:rsidRDefault="00056154">
      <w:pPr>
        <w:pStyle w:val="InstructionsText2"/>
        <w:numPr>
          <w:ilvl w:val="0"/>
          <w:numId w:val="0"/>
        </w:numPr>
        <w:rPr>
          <w:noProof/>
        </w:rPr>
      </w:pPr>
    </w:p>
    <w:p w14:paraId="2C4982B9" w14:textId="526F501C" w:rsidR="009B2CA6" w:rsidRPr="00037E7B" w:rsidRDefault="00015197" w:rsidP="009B2CA6">
      <w:pPr>
        <w:pStyle w:val="Instructionsberschrift2"/>
        <w:numPr>
          <w:ilvl w:val="0"/>
          <w:numId w:val="0"/>
        </w:numPr>
        <w:ind w:left="357" w:hanging="357"/>
        <w:rPr>
          <w:rFonts w:ascii="Times New Roman" w:hAnsi="Times New Roman" w:cs="Times New Roman"/>
          <w:sz w:val="24"/>
        </w:rPr>
      </w:pPr>
      <w:bookmarkStart w:id="14" w:name="_Toc151714540"/>
      <w:r>
        <w:rPr>
          <w:rFonts w:ascii="Times New Roman" w:hAnsi="Times New Roman"/>
          <w:sz w:val="24"/>
        </w:rPr>
        <w:t>9.2.2.2 Pokyny pro konkrétní pozice</w:t>
      </w:r>
      <w:bookmarkEnd w:id="14"/>
    </w:p>
    <w:tbl>
      <w:tblPr>
        <w:tblStyle w:val="TableGrid"/>
        <w:tblW w:w="0" w:type="auto"/>
        <w:tblLook w:val="04A0" w:firstRow="1" w:lastRow="0" w:firstColumn="1" w:lastColumn="0" w:noHBand="0" w:noVBand="1"/>
      </w:tblPr>
      <w:tblGrid>
        <w:gridCol w:w="1203"/>
        <w:gridCol w:w="7813"/>
      </w:tblGrid>
      <w:tr w:rsidR="009B2CA6" w:rsidRPr="00037E7B" w14:paraId="15D9E2A5" w14:textId="77777777">
        <w:tc>
          <w:tcPr>
            <w:tcW w:w="1203" w:type="dxa"/>
            <w:shd w:val="clear" w:color="auto" w:fill="BFBFBF" w:themeFill="background1" w:themeFillShade="BF"/>
          </w:tcPr>
          <w:p w14:paraId="1B28CD80"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Sloupec</w:t>
            </w:r>
          </w:p>
        </w:tc>
        <w:tc>
          <w:tcPr>
            <w:tcW w:w="7813" w:type="dxa"/>
            <w:shd w:val="clear" w:color="auto" w:fill="BFBFBF" w:themeFill="background1" w:themeFillShade="BF"/>
          </w:tcPr>
          <w:p w14:paraId="07605642"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Odkazy na právní předpisy a pokyny</w:t>
            </w:r>
          </w:p>
        </w:tc>
      </w:tr>
      <w:tr w:rsidR="009B2CA6" w:rsidRPr="00037E7B" w14:paraId="55E2B293" w14:textId="77777777">
        <w:trPr>
          <w:trHeight w:val="70"/>
        </w:trPr>
        <w:tc>
          <w:tcPr>
            <w:tcW w:w="1203" w:type="dxa"/>
          </w:tcPr>
          <w:p w14:paraId="62D87E0D" w14:textId="7B0469E1" w:rsidR="009B2CA6" w:rsidRPr="00037E7B" w:rsidRDefault="009B2CA6">
            <w:pPr>
              <w:pStyle w:val="BodyText"/>
              <w:spacing w:before="120" w:after="120"/>
              <w:rPr>
                <w:rFonts w:ascii="Times New Roman" w:hAnsi="Times New Roman" w:cs="Times New Roman"/>
              </w:rPr>
            </w:pPr>
            <w:r>
              <w:rPr>
                <w:rFonts w:ascii="Times New Roman" w:hAnsi="Times New Roman"/>
              </w:rPr>
              <w:t>0010–0150</w:t>
            </w:r>
          </w:p>
        </w:tc>
        <w:tc>
          <w:tcPr>
            <w:tcW w:w="7813" w:type="dxa"/>
            <w:vAlign w:val="bottom"/>
          </w:tcPr>
          <w:p w14:paraId="266895B6" w14:textId="221A0953"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Obchodní portfolio: Souhrnné pozice: Hodnota podle článku 325a nařízení (EU) č. 575/2013 (čistá (+) kladná / (−) záporná tržní hodnota)</w:t>
            </w:r>
          </w:p>
          <w:p w14:paraId="00ABD96B" w14:textId="77777777" w:rsidR="009B2CA6" w:rsidRPr="00037E7B" w:rsidRDefault="009B2CA6" w:rsidP="00056154">
            <w:pPr>
              <w:pStyle w:val="BodyText"/>
              <w:spacing w:before="120" w:after="120"/>
              <w:rPr>
                <w:rFonts w:ascii="Times New Roman" w:hAnsi="Times New Roman" w:cs="Times New Roman"/>
              </w:rPr>
            </w:pPr>
            <w:r>
              <w:rPr>
                <w:rFonts w:ascii="Times New Roman" w:hAnsi="Times New Roman"/>
              </w:rPr>
              <w:t>Ustanovení čl. 4 odst. 1 bodu 86, článku 104, čl. 325a odst. 2 písm. a) nařízení (EU) č. 575/2013</w:t>
            </w:r>
          </w:p>
          <w:p w14:paraId="467A1E21" w14:textId="008DABF1" w:rsidR="0061609C" w:rsidRPr="00037E7B" w:rsidRDefault="0061609C" w:rsidP="00056154">
            <w:pPr>
              <w:pStyle w:val="BodyText"/>
              <w:spacing w:before="120" w:after="120"/>
              <w:rPr>
                <w:rFonts w:ascii="Times New Roman" w:hAnsi="Times New Roman" w:cs="Times New Roman"/>
              </w:rPr>
            </w:pPr>
            <w:r>
              <w:t xml:space="preserve">Instituce vykazují samostatně informace o souhrnných dlouhých pozicích a o souhrnných krátkých pozicích. Hodnotu souhrnné dlouhé (krátké) pozice </w:t>
            </w:r>
            <w:proofErr w:type="gramStart"/>
            <w:r>
              <w:t>určí</w:t>
            </w:r>
            <w:proofErr w:type="gramEnd"/>
            <w:r>
              <w:t xml:space="preserve"> v souladu s čl. 325a odst. 2 nařízení (EU) č. 575/2013 s touto výjimkou: pokud hodnota souhrnné dlouhé (krátké) pozice odpovídá čisté kladné tržní hodnotě, vykáže se v této šabloně kladná hodnota; pokud hodnota souhrnné dlouhé (krátké) pozice odpovídá čisté záporné tržní hodnotě, vykáže se záporná hodnota.</w:t>
            </w:r>
          </w:p>
        </w:tc>
      </w:tr>
      <w:tr w:rsidR="009B2CA6" w:rsidRPr="00037E7B" w14:paraId="508C4AB7" w14:textId="77777777">
        <w:tc>
          <w:tcPr>
            <w:tcW w:w="1203" w:type="dxa"/>
          </w:tcPr>
          <w:p w14:paraId="502BC619" w14:textId="735ED871"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0010</w:t>
            </w:r>
          </w:p>
        </w:tc>
        <w:tc>
          <w:tcPr>
            <w:tcW w:w="7813" w:type="dxa"/>
            <w:vAlign w:val="bottom"/>
          </w:tcPr>
          <w:p w14:paraId="3A5B9DDA" w14:textId="7548675F"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Souhrnné pozice – z toho: v cizí měně</w:t>
            </w:r>
          </w:p>
          <w:p w14:paraId="67C375D5" w14:textId="58B41269"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Nástroje se vykazují v tomto sloupci, pokud jsou denominovány v jiné měně, než je měna vykazování, pokud mají podkladový nástroj denominovaný v takové měně nebo mají jako podkladový nástroj měnovou pozici.</w:t>
            </w:r>
          </w:p>
        </w:tc>
      </w:tr>
      <w:tr w:rsidR="009B2CA6" w:rsidRPr="00037E7B" w14:paraId="03CCA48F" w14:textId="77777777">
        <w:tc>
          <w:tcPr>
            <w:tcW w:w="1203" w:type="dxa"/>
          </w:tcPr>
          <w:p w14:paraId="311B1C42" w14:textId="2702B590" w:rsidR="009B2CA6" w:rsidRPr="00037E7B" w:rsidRDefault="009B2CA6">
            <w:pPr>
              <w:pStyle w:val="BodyText"/>
              <w:spacing w:before="120" w:after="120"/>
              <w:rPr>
                <w:rFonts w:ascii="Times New Roman" w:hAnsi="Times New Roman" w:cs="Times New Roman"/>
              </w:rPr>
            </w:pPr>
            <w:r>
              <w:rPr>
                <w:rFonts w:ascii="Times New Roman" w:hAnsi="Times New Roman"/>
              </w:rPr>
              <w:t>0020–0120</w:t>
            </w:r>
          </w:p>
        </w:tc>
        <w:tc>
          <w:tcPr>
            <w:tcW w:w="7813" w:type="dxa"/>
            <w:vAlign w:val="bottom"/>
          </w:tcPr>
          <w:p w14:paraId="7817D847" w14:textId="2DFC160D"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Souhrnné pozice – Povinně v obchodním portfoliu</w:t>
            </w:r>
          </w:p>
          <w:p w14:paraId="45D126DC" w14:textId="42024198"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Pokud nástroj splňuje více než jednu podmínku pro zařazení do obchodního portfolia, instituce jej vykazují ve sloupci, který považují za nejvhodnější ze sloupců 0030 až 0120. Nástroje klasifikované jako nástroje s obchodním účelem podle účetního rámce se vykazují ve sloupci 0120 pouze tehdy, pokud je nelze zařadit do žádného ze sloupců 0030 až 0110.</w:t>
            </w:r>
          </w:p>
        </w:tc>
      </w:tr>
      <w:tr w:rsidR="009B2CA6" w:rsidRPr="00037E7B" w14:paraId="6AC9BF62" w14:textId="77777777">
        <w:tc>
          <w:tcPr>
            <w:tcW w:w="1203" w:type="dxa"/>
          </w:tcPr>
          <w:p w14:paraId="5CD1C53C" w14:textId="3AE6C82A" w:rsidR="009B2CA6" w:rsidRPr="00037E7B" w:rsidRDefault="009B2CA6">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76886C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Povinně v obchodním portfoliu</w:t>
            </w:r>
          </w:p>
        </w:tc>
      </w:tr>
      <w:tr w:rsidR="009B2CA6" w:rsidRPr="00037E7B" w14:paraId="1DB81A60" w14:textId="77777777">
        <w:tc>
          <w:tcPr>
            <w:tcW w:w="1203" w:type="dxa"/>
          </w:tcPr>
          <w:p w14:paraId="58C00983" w14:textId="4299CC1F" w:rsidR="009B2CA6" w:rsidRPr="00037E7B" w:rsidRDefault="009B2CA6">
            <w:pPr>
              <w:pStyle w:val="BodyText"/>
              <w:spacing w:before="120" w:after="120"/>
              <w:rPr>
                <w:rFonts w:ascii="Times New Roman" w:hAnsi="Times New Roman" w:cs="Times New Roman"/>
              </w:rPr>
            </w:pPr>
            <w:r>
              <w:rPr>
                <w:rFonts w:ascii="Times New Roman" w:hAnsi="Times New Roman"/>
              </w:rPr>
              <w:t>0030</w:t>
            </w:r>
          </w:p>
        </w:tc>
        <w:tc>
          <w:tcPr>
            <w:tcW w:w="7813" w:type="dxa"/>
          </w:tcPr>
          <w:p w14:paraId="5A39CA9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Nástroje v ACTP</w:t>
            </w:r>
          </w:p>
          <w:p w14:paraId="761EFC0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Ustanovení čl. 104 odst. 2 prvního pododstavce písm. a) nařízení (EU) č. 575/2013</w:t>
            </w:r>
          </w:p>
        </w:tc>
      </w:tr>
      <w:tr w:rsidR="009B2CA6" w:rsidRPr="00037E7B" w14:paraId="6F489832" w14:textId="77777777">
        <w:tc>
          <w:tcPr>
            <w:tcW w:w="1203" w:type="dxa"/>
          </w:tcPr>
          <w:p w14:paraId="3AD88966" w14:textId="2138AB70" w:rsidR="009B2CA6" w:rsidRPr="00037E7B" w:rsidRDefault="009B2CA6">
            <w:pPr>
              <w:pStyle w:val="BodyText"/>
              <w:spacing w:before="120" w:after="120"/>
              <w:rPr>
                <w:rFonts w:ascii="Times New Roman" w:hAnsi="Times New Roman" w:cs="Times New Roman"/>
              </w:rPr>
            </w:pPr>
            <w:r>
              <w:rPr>
                <w:rFonts w:ascii="Times New Roman" w:hAnsi="Times New Roman"/>
              </w:rPr>
              <w:t>0040</w:t>
            </w:r>
          </w:p>
        </w:tc>
        <w:tc>
          <w:tcPr>
            <w:tcW w:w="7813" w:type="dxa"/>
          </w:tcPr>
          <w:p w14:paraId="201BF48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Nástroje, které by vedly k čisté krátké úvěrové nebo akciové pozici v investičním portfoliu</w:t>
            </w:r>
          </w:p>
          <w:p w14:paraId="6B81D80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Ustanovení čl. 104 odst. 2 prvního pododstavce písm. b) nařízení (EU) č. 575/2013</w:t>
            </w:r>
          </w:p>
        </w:tc>
      </w:tr>
      <w:tr w:rsidR="009B2CA6" w:rsidRPr="00037E7B" w14:paraId="2681A203" w14:textId="77777777">
        <w:tc>
          <w:tcPr>
            <w:tcW w:w="1203" w:type="dxa"/>
          </w:tcPr>
          <w:p w14:paraId="4F039D7D" w14:textId="1615A9ED" w:rsidR="009B2CA6" w:rsidRPr="00037E7B" w:rsidRDefault="009B2CA6">
            <w:pPr>
              <w:pStyle w:val="BodyText"/>
              <w:spacing w:before="120" w:after="120"/>
              <w:rPr>
                <w:rFonts w:ascii="Times New Roman" w:hAnsi="Times New Roman" w:cs="Times New Roman"/>
              </w:rPr>
            </w:pPr>
            <w:r>
              <w:rPr>
                <w:rFonts w:ascii="Times New Roman" w:hAnsi="Times New Roman"/>
              </w:rPr>
              <w:t>0050</w:t>
            </w:r>
          </w:p>
        </w:tc>
        <w:tc>
          <w:tcPr>
            <w:tcW w:w="7813" w:type="dxa"/>
          </w:tcPr>
          <w:p w14:paraId="58BDB0D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Nástroje vyplývající z příslibů k upisování cenných papírů</w:t>
            </w:r>
          </w:p>
          <w:p w14:paraId="0035AED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Ustanovení čl. 104 odst. 2 prvního pododstavce písm. c) nařízení (EU) č. 575/2013</w:t>
            </w:r>
          </w:p>
        </w:tc>
      </w:tr>
      <w:tr w:rsidR="009B2CA6" w:rsidRPr="00037E7B" w14:paraId="0F150DD0" w14:textId="77777777">
        <w:tc>
          <w:tcPr>
            <w:tcW w:w="1203" w:type="dxa"/>
          </w:tcPr>
          <w:p w14:paraId="56310523" w14:textId="5824B274" w:rsidR="009B2CA6" w:rsidRPr="00037E7B" w:rsidRDefault="009B2CA6">
            <w:pPr>
              <w:pStyle w:val="BodyText"/>
              <w:spacing w:before="120" w:after="120"/>
              <w:rPr>
                <w:rFonts w:ascii="Times New Roman" w:hAnsi="Times New Roman" w:cs="Times New Roman"/>
              </w:rPr>
            </w:pPr>
            <w:r>
              <w:rPr>
                <w:rFonts w:ascii="Times New Roman" w:hAnsi="Times New Roman"/>
              </w:rPr>
              <w:t>0060</w:t>
            </w:r>
          </w:p>
        </w:tc>
        <w:tc>
          <w:tcPr>
            <w:tcW w:w="7813" w:type="dxa"/>
          </w:tcPr>
          <w:p w14:paraId="319EF2D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Nástroje vyplývající z tvorby trhu</w:t>
            </w:r>
          </w:p>
          <w:p w14:paraId="39D72E3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Ustanovení čl. 104 odst. 2 prvního pododstavce písm. e) nařízení (EU) č. 575/2013</w:t>
            </w:r>
          </w:p>
        </w:tc>
      </w:tr>
      <w:tr w:rsidR="009B2CA6" w:rsidRPr="00037E7B" w14:paraId="3EEE4A44" w14:textId="77777777">
        <w:tc>
          <w:tcPr>
            <w:tcW w:w="1203" w:type="dxa"/>
          </w:tcPr>
          <w:p w14:paraId="35BF9484" w14:textId="12DEDF50" w:rsidR="009B2CA6" w:rsidRPr="00037E7B" w:rsidRDefault="009B2CA6">
            <w:pPr>
              <w:pStyle w:val="BodyText"/>
              <w:spacing w:before="120" w:after="120"/>
              <w:rPr>
                <w:rFonts w:ascii="Times New Roman" w:hAnsi="Times New Roman" w:cs="Times New Roman"/>
              </w:rPr>
            </w:pPr>
            <w:r>
              <w:rPr>
                <w:rFonts w:ascii="Times New Roman" w:hAnsi="Times New Roman"/>
              </w:rPr>
              <w:t>0070</w:t>
            </w:r>
          </w:p>
        </w:tc>
        <w:tc>
          <w:tcPr>
            <w:tcW w:w="7813" w:type="dxa"/>
          </w:tcPr>
          <w:p w14:paraId="11B16F63"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Subjekty kolektivního investování</w:t>
            </w:r>
          </w:p>
          <w:p w14:paraId="5F0ADDDD"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Ustanovení čl. 104 odst. 2 prvního pododstavce písm. f) nařízení (EU) č. 575/2013</w:t>
            </w:r>
          </w:p>
        </w:tc>
      </w:tr>
      <w:tr w:rsidR="009B2CA6" w:rsidRPr="00037E7B" w14:paraId="39B1FCD7" w14:textId="77777777">
        <w:tc>
          <w:tcPr>
            <w:tcW w:w="1203" w:type="dxa"/>
          </w:tcPr>
          <w:p w14:paraId="56A3EA85" w14:textId="5D6B9DAD" w:rsidR="009B2CA6" w:rsidRPr="00037E7B" w:rsidRDefault="009B2CA6">
            <w:pPr>
              <w:pStyle w:val="BodyText"/>
              <w:spacing w:before="120" w:after="120"/>
              <w:rPr>
                <w:rFonts w:ascii="Times New Roman" w:hAnsi="Times New Roman" w:cs="Times New Roman"/>
              </w:rPr>
            </w:pPr>
            <w:r>
              <w:rPr>
                <w:rFonts w:ascii="Times New Roman" w:hAnsi="Times New Roman"/>
              </w:rPr>
              <w:t>0080</w:t>
            </w:r>
          </w:p>
        </w:tc>
        <w:tc>
          <w:tcPr>
            <w:tcW w:w="7813" w:type="dxa"/>
          </w:tcPr>
          <w:p w14:paraId="6968C5A8"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Kotované akcie</w:t>
            </w:r>
          </w:p>
          <w:p w14:paraId="7373B9F6"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Ustanovení čl. 104 odst. 2 prvního pododstavce písm. g) nařízení (EU) č. 575/2013</w:t>
            </w:r>
          </w:p>
        </w:tc>
      </w:tr>
      <w:tr w:rsidR="009B2CA6" w:rsidRPr="00037E7B" w14:paraId="2C868D17" w14:textId="77777777">
        <w:tc>
          <w:tcPr>
            <w:tcW w:w="1203" w:type="dxa"/>
          </w:tcPr>
          <w:p w14:paraId="7C3DA249" w14:textId="2DCB2DC7" w:rsidR="009B2CA6" w:rsidRPr="00037E7B" w:rsidRDefault="009B2CA6">
            <w:pPr>
              <w:pStyle w:val="BodyText"/>
              <w:spacing w:before="120" w:after="120"/>
              <w:rPr>
                <w:rFonts w:ascii="Times New Roman" w:hAnsi="Times New Roman" w:cs="Times New Roman"/>
              </w:rPr>
            </w:pPr>
            <w:r>
              <w:rPr>
                <w:rFonts w:ascii="Times New Roman" w:hAnsi="Times New Roman"/>
              </w:rPr>
              <w:t>0090</w:t>
            </w:r>
          </w:p>
        </w:tc>
        <w:tc>
          <w:tcPr>
            <w:tcW w:w="7813" w:type="dxa"/>
          </w:tcPr>
          <w:p w14:paraId="6387D71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SFT související s obchodováním</w:t>
            </w:r>
          </w:p>
          <w:p w14:paraId="6D53378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Ustanovení čl. 104 odst. 2 prvního pododstavce písm. h) nařízení (EU) č. 575/2013</w:t>
            </w:r>
          </w:p>
        </w:tc>
      </w:tr>
      <w:tr w:rsidR="009B2CA6" w:rsidRPr="00037E7B" w14:paraId="51E19E34" w14:textId="77777777">
        <w:tc>
          <w:tcPr>
            <w:tcW w:w="1203" w:type="dxa"/>
          </w:tcPr>
          <w:p w14:paraId="40DF6AD2" w14:textId="66A7EFB3"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0100</w:t>
            </w:r>
          </w:p>
        </w:tc>
        <w:tc>
          <w:tcPr>
            <w:tcW w:w="7813" w:type="dxa"/>
          </w:tcPr>
          <w:p w14:paraId="5611CE5C"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Opce nebo jiné deriváty vložené do vlastních závazků instituce (rozdělené)</w:t>
            </w:r>
          </w:p>
          <w:p w14:paraId="0426719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Ustanovení čl. 104 odst. 2 prvního pododstavce bodu i) a třetího pododstavce nařízení (EU) č. 575/2013</w:t>
            </w:r>
          </w:p>
        </w:tc>
      </w:tr>
      <w:tr w:rsidR="009B2CA6" w:rsidRPr="00037E7B" w14:paraId="0BD2C394" w14:textId="77777777">
        <w:tc>
          <w:tcPr>
            <w:tcW w:w="1203" w:type="dxa"/>
          </w:tcPr>
          <w:p w14:paraId="577F08A1" w14:textId="53A3A002" w:rsidR="009B2CA6" w:rsidRPr="00037E7B" w:rsidRDefault="009B2CA6">
            <w:pPr>
              <w:pStyle w:val="BodyText"/>
              <w:spacing w:before="120" w:after="120"/>
              <w:rPr>
                <w:rFonts w:ascii="Times New Roman" w:hAnsi="Times New Roman" w:cs="Times New Roman"/>
              </w:rPr>
            </w:pPr>
            <w:r>
              <w:rPr>
                <w:rFonts w:ascii="Times New Roman" w:hAnsi="Times New Roman"/>
              </w:rPr>
              <w:t>0110</w:t>
            </w:r>
          </w:p>
        </w:tc>
        <w:tc>
          <w:tcPr>
            <w:tcW w:w="7813" w:type="dxa"/>
          </w:tcPr>
          <w:p w14:paraId="3F7AFD3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Vlastní závazky instituce s vloženými opcemi nebo jinými deriváty (nerozdělené)</w:t>
            </w:r>
          </w:p>
          <w:p w14:paraId="6C5173C2"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 xml:space="preserve">Ustanovení čl. 104 odst. 2 prvního pododstavce bodu i) a čtvrtého </w:t>
            </w:r>
            <w:proofErr w:type="spellStart"/>
            <w:r>
              <w:rPr>
                <w:rFonts w:ascii="Times New Roman" w:hAnsi="Times New Roman"/>
              </w:rPr>
              <w:t>podododstavce</w:t>
            </w:r>
            <w:proofErr w:type="spellEnd"/>
            <w:r>
              <w:rPr>
                <w:rFonts w:ascii="Times New Roman" w:hAnsi="Times New Roman"/>
              </w:rPr>
              <w:t xml:space="preserve"> nařízení (EU) č. 575/2013</w:t>
            </w:r>
          </w:p>
        </w:tc>
      </w:tr>
      <w:tr w:rsidR="009B2CA6" w:rsidRPr="00037E7B" w14:paraId="5BD829B0" w14:textId="77777777">
        <w:tc>
          <w:tcPr>
            <w:tcW w:w="1203" w:type="dxa"/>
          </w:tcPr>
          <w:p w14:paraId="2FA5C009" w14:textId="473E61D7" w:rsidR="009B2CA6" w:rsidRPr="00037E7B" w:rsidRDefault="009B2CA6">
            <w:pPr>
              <w:pStyle w:val="BodyText"/>
              <w:spacing w:before="120" w:after="120"/>
              <w:rPr>
                <w:rFonts w:ascii="Times New Roman" w:hAnsi="Times New Roman" w:cs="Times New Roman"/>
              </w:rPr>
            </w:pPr>
            <w:r>
              <w:rPr>
                <w:rFonts w:ascii="Times New Roman" w:hAnsi="Times New Roman"/>
              </w:rPr>
              <w:t>0120</w:t>
            </w:r>
          </w:p>
        </w:tc>
        <w:tc>
          <w:tcPr>
            <w:tcW w:w="7813" w:type="dxa"/>
          </w:tcPr>
          <w:p w14:paraId="04C4E6C0"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Nástroje klasifikované jako nástroje s obchodním účelem podle účetního rámce (nezahrnuté v předchozích sloupcích)</w:t>
            </w:r>
          </w:p>
          <w:p w14:paraId="10D50030" w14:textId="47C96D60" w:rsidR="009B2CA6" w:rsidRPr="00037E7B" w:rsidRDefault="009B2CA6">
            <w:pPr>
              <w:pStyle w:val="BodyText"/>
              <w:spacing w:before="120" w:after="120"/>
              <w:rPr>
                <w:rFonts w:ascii="Times New Roman" w:hAnsi="Times New Roman" w:cs="Times New Roman"/>
              </w:rPr>
            </w:pPr>
            <w:r>
              <w:rPr>
                <w:rFonts w:ascii="Times New Roman" w:hAnsi="Times New Roman"/>
              </w:rPr>
              <w:t>Ustanovení čl. 104 odst. 2 prvního pododstavce písm. d) nařízení (EU) č. 575/2013.</w:t>
            </w:r>
          </w:p>
          <w:p w14:paraId="5674D9E6" w14:textId="3DAB8DFF"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Nástroje klasifikované jako nástroje s obchodním účelem podle účetního rámce se v tomto sloupci vykazují pouze tehdy, pokud ještě nebyly vykázány ve sloupcích 0030 až 0110.</w:t>
            </w:r>
          </w:p>
        </w:tc>
      </w:tr>
      <w:tr w:rsidR="009B2CA6" w:rsidRPr="00037E7B" w14:paraId="2E034E64" w14:textId="77777777">
        <w:tc>
          <w:tcPr>
            <w:tcW w:w="1203" w:type="dxa"/>
          </w:tcPr>
          <w:p w14:paraId="0EC43CAD" w14:textId="3F3C4B46"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0130 </w:t>
            </w:r>
          </w:p>
        </w:tc>
        <w:tc>
          <w:tcPr>
            <w:tcW w:w="7813" w:type="dxa"/>
          </w:tcPr>
          <w:p w14:paraId="1958765E" w14:textId="79733BFC"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Souhrnné pozice – Nástroje zahrnuté do obchodního portfolia se svolením příslušného orgánu: nástroje v hedgeových fondech</w:t>
            </w:r>
          </w:p>
          <w:p w14:paraId="71C1AC7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Ustanovení čl. 104 odst. 4a nařízení (EU) č. 575/2013;</w:t>
            </w:r>
          </w:p>
        </w:tc>
      </w:tr>
      <w:tr w:rsidR="009B2CA6" w:rsidRPr="00037E7B" w14:paraId="58C0F140" w14:textId="77777777">
        <w:tc>
          <w:tcPr>
            <w:tcW w:w="1203" w:type="dxa"/>
          </w:tcPr>
          <w:p w14:paraId="4FE32C77" w14:textId="078AEE3E" w:rsidR="009B2CA6" w:rsidRPr="00037E7B" w:rsidRDefault="009B2CA6">
            <w:pPr>
              <w:pStyle w:val="BodyText"/>
              <w:spacing w:before="120" w:after="120"/>
              <w:rPr>
                <w:rFonts w:ascii="Times New Roman" w:hAnsi="Times New Roman" w:cs="Times New Roman"/>
              </w:rPr>
            </w:pPr>
            <w:r>
              <w:rPr>
                <w:rFonts w:ascii="Times New Roman" w:hAnsi="Times New Roman"/>
              </w:rPr>
              <w:t>0140–0150</w:t>
            </w:r>
          </w:p>
        </w:tc>
        <w:tc>
          <w:tcPr>
            <w:tcW w:w="7813" w:type="dxa"/>
          </w:tcPr>
          <w:p w14:paraId="592DBEC6" w14:textId="54D13645"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Souhrnné pozice – Ostatní nástroje</w:t>
            </w:r>
          </w:p>
          <w:p w14:paraId="4AFCA133" w14:textId="3CC0563A"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Nástroje se vykazují v tomto sloupci, pokud jsou zařazeny do obchodního portfolia v souladu s čl. 4 odst. 1 bodem 85 nařízení (EU) č. 575/2013 a nebyly vykázány v žádném ze sloupců 0020 až 0130.</w:t>
            </w:r>
          </w:p>
        </w:tc>
      </w:tr>
      <w:tr w:rsidR="009B2CA6" w:rsidRPr="00037E7B" w14:paraId="2F8F4937" w14:textId="77777777">
        <w:tc>
          <w:tcPr>
            <w:tcW w:w="1203" w:type="dxa"/>
          </w:tcPr>
          <w:p w14:paraId="7CF40847" w14:textId="77E27C63" w:rsidR="009B2CA6" w:rsidRPr="00037E7B" w:rsidRDefault="009B2CA6">
            <w:pPr>
              <w:pStyle w:val="BodyText"/>
              <w:spacing w:before="120" w:after="120"/>
              <w:rPr>
                <w:rFonts w:ascii="Times New Roman" w:hAnsi="Times New Roman" w:cs="Times New Roman"/>
              </w:rPr>
            </w:pPr>
            <w:r>
              <w:rPr>
                <w:rFonts w:ascii="Times New Roman" w:hAnsi="Times New Roman"/>
              </w:rPr>
              <w:t>0140</w:t>
            </w:r>
          </w:p>
        </w:tc>
        <w:tc>
          <w:tcPr>
            <w:tcW w:w="7813" w:type="dxa"/>
          </w:tcPr>
          <w:p w14:paraId="38EE78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Ostatní nástroje</w:t>
            </w:r>
          </w:p>
        </w:tc>
      </w:tr>
      <w:tr w:rsidR="009B2CA6" w:rsidRPr="00037E7B" w14:paraId="64544C3C" w14:textId="77777777">
        <w:tc>
          <w:tcPr>
            <w:tcW w:w="1203" w:type="dxa"/>
          </w:tcPr>
          <w:p w14:paraId="26F8855E" w14:textId="46CAE730" w:rsidR="009B2CA6" w:rsidRPr="00037E7B" w:rsidRDefault="009B2CA6">
            <w:pPr>
              <w:pStyle w:val="BodyText"/>
              <w:spacing w:before="120" w:after="120"/>
              <w:rPr>
                <w:rFonts w:ascii="Times New Roman" w:hAnsi="Times New Roman" w:cs="Times New Roman"/>
              </w:rPr>
            </w:pPr>
            <w:r>
              <w:rPr>
                <w:rFonts w:ascii="Times New Roman" w:hAnsi="Times New Roman"/>
              </w:rPr>
              <w:t>0150</w:t>
            </w:r>
          </w:p>
        </w:tc>
        <w:tc>
          <w:tcPr>
            <w:tcW w:w="7813" w:type="dxa"/>
          </w:tcPr>
          <w:p w14:paraId="27213E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Ostatní nástroje – z toho: nástroje v obchodním portfoliu kvůli nedostatku dokladů pro zařazení do investičního portfolia</w:t>
            </w:r>
          </w:p>
          <w:p w14:paraId="41653F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Ustanovení čl. 104 odst. 6 druhé věty nařízení (EU) č. 575/2013</w:t>
            </w:r>
          </w:p>
        </w:tc>
      </w:tr>
    </w:tbl>
    <w:p w14:paraId="10FD81A7" w14:textId="77777777" w:rsidR="009B2CA6" w:rsidRPr="00F13966" w:rsidRDefault="009B2CA6" w:rsidP="009B2CA6">
      <w:pPr>
        <w:pStyle w:val="body"/>
        <w:spacing w:before="0" w:after="0"/>
        <w:rPr>
          <w:rFonts w:ascii="Times New Roman" w:hAnsi="Times New Roman" w:cs="Times New Roman"/>
        </w:rPr>
      </w:pPr>
    </w:p>
    <w:tbl>
      <w:tblPr>
        <w:tblStyle w:val="TableGrid"/>
        <w:tblW w:w="0" w:type="auto"/>
        <w:tblLook w:val="04A0" w:firstRow="1" w:lastRow="0" w:firstColumn="1" w:lastColumn="0" w:noHBand="0" w:noVBand="1"/>
      </w:tblPr>
      <w:tblGrid>
        <w:gridCol w:w="1203"/>
        <w:gridCol w:w="7813"/>
      </w:tblGrid>
      <w:tr w:rsidR="009B2CA6" w:rsidRPr="00037E7B" w14:paraId="098F6BB4" w14:textId="77777777">
        <w:tc>
          <w:tcPr>
            <w:tcW w:w="1203" w:type="dxa"/>
            <w:shd w:val="clear" w:color="auto" w:fill="BFBFBF" w:themeFill="background1" w:themeFillShade="BF"/>
          </w:tcPr>
          <w:p w14:paraId="68638DB3"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Řádek</w:t>
            </w:r>
          </w:p>
        </w:tc>
        <w:tc>
          <w:tcPr>
            <w:tcW w:w="7813" w:type="dxa"/>
            <w:shd w:val="clear" w:color="auto" w:fill="BFBFBF" w:themeFill="background1" w:themeFillShade="BF"/>
          </w:tcPr>
          <w:p w14:paraId="4E400868"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Odkazy na právní předpisy a pokyny</w:t>
            </w:r>
          </w:p>
        </w:tc>
      </w:tr>
      <w:tr w:rsidR="009C1D1D" w:rsidRPr="00037E7B" w14:paraId="7134C634" w14:textId="77777777">
        <w:trPr>
          <w:trHeight w:val="70"/>
        </w:trPr>
        <w:tc>
          <w:tcPr>
            <w:tcW w:w="1203" w:type="dxa"/>
          </w:tcPr>
          <w:p w14:paraId="0369C832" w14:textId="5442AEC0" w:rsidR="009C1D1D" w:rsidRPr="00037E7B" w:rsidRDefault="00A17954">
            <w:pPr>
              <w:pStyle w:val="BodyText"/>
              <w:spacing w:before="120" w:after="120"/>
              <w:rPr>
                <w:rFonts w:ascii="Times New Roman" w:hAnsi="Times New Roman" w:cs="Times New Roman"/>
              </w:rPr>
            </w:pPr>
            <w:r>
              <w:rPr>
                <w:rFonts w:ascii="Times New Roman" w:hAnsi="Times New Roman"/>
              </w:rPr>
              <w:t>0010–0020</w:t>
            </w:r>
          </w:p>
        </w:tc>
        <w:tc>
          <w:tcPr>
            <w:tcW w:w="7813" w:type="dxa"/>
            <w:vAlign w:val="bottom"/>
          </w:tcPr>
          <w:p w14:paraId="0C31E542" w14:textId="7FD81BBC" w:rsidR="009C1D1D" w:rsidRPr="00037E7B" w:rsidRDefault="00A17954">
            <w:pPr>
              <w:pStyle w:val="BodyText"/>
              <w:spacing w:before="120" w:after="120"/>
              <w:rPr>
                <w:rFonts w:ascii="Times New Roman" w:hAnsi="Times New Roman" w:cs="Times New Roman"/>
                <w:b/>
                <w:u w:val="single"/>
              </w:rPr>
            </w:pPr>
            <w:r>
              <w:rPr>
                <w:rFonts w:ascii="Times New Roman" w:hAnsi="Times New Roman"/>
                <w:b/>
                <w:u w:val="single"/>
              </w:rPr>
              <w:t>Všechny nástroje v obchodním portfoliu zohledněné v prahové hodnotě podle článku 325a nařízení (EU) č. 575/2013</w:t>
            </w:r>
          </w:p>
        </w:tc>
      </w:tr>
      <w:tr w:rsidR="009B2CA6" w:rsidRPr="00037E7B" w14:paraId="225F200D" w14:textId="77777777" w:rsidTr="00723BA8">
        <w:trPr>
          <w:trHeight w:val="70"/>
        </w:trPr>
        <w:tc>
          <w:tcPr>
            <w:tcW w:w="1203" w:type="dxa"/>
          </w:tcPr>
          <w:p w14:paraId="5E239DC6" w14:textId="25A2560E" w:rsidR="009B2CA6" w:rsidRPr="00037E7B" w:rsidRDefault="00A17954">
            <w:pPr>
              <w:pStyle w:val="BodyText"/>
              <w:spacing w:before="120" w:after="120"/>
              <w:rPr>
                <w:rFonts w:ascii="Times New Roman" w:hAnsi="Times New Roman" w:cs="Times New Roman"/>
              </w:rPr>
            </w:pPr>
            <w:r>
              <w:rPr>
                <w:rFonts w:ascii="Times New Roman" w:hAnsi="Times New Roman"/>
              </w:rPr>
              <w:t>0030–0040</w:t>
            </w:r>
          </w:p>
        </w:tc>
        <w:tc>
          <w:tcPr>
            <w:tcW w:w="7813" w:type="dxa"/>
          </w:tcPr>
          <w:p w14:paraId="63B321D7" w14:textId="77777777" w:rsidR="00A17954"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Nástroje, jejichž hlavním rizikovým faktorem je obecné úrokové riziko nebo riziko úvěrového rozpětí</w:t>
            </w:r>
          </w:p>
          <w:p w14:paraId="1768966A" w14:textId="77777777" w:rsidR="009B2CA6" w:rsidRPr="00F13966" w:rsidRDefault="009B2CA6" w:rsidP="00627775">
            <w:pPr>
              <w:pStyle w:val="BodyText"/>
              <w:spacing w:before="120" w:after="120"/>
              <w:rPr>
                <w:rFonts w:ascii="Times New Roman" w:hAnsi="Times New Roman" w:cs="Times New Roman"/>
                <w:b/>
                <w:u w:val="single"/>
              </w:rPr>
            </w:pPr>
          </w:p>
        </w:tc>
      </w:tr>
      <w:tr w:rsidR="009B2CA6" w:rsidRPr="00037E7B" w14:paraId="2557F02B" w14:textId="77777777" w:rsidTr="00723BA8">
        <w:trPr>
          <w:trHeight w:val="70"/>
        </w:trPr>
        <w:tc>
          <w:tcPr>
            <w:tcW w:w="1203" w:type="dxa"/>
          </w:tcPr>
          <w:p w14:paraId="365D4766" w14:textId="5FCC0FF4" w:rsidR="009B2CA6" w:rsidRPr="00037E7B" w:rsidRDefault="00A17954">
            <w:pPr>
              <w:pStyle w:val="BodyText"/>
              <w:spacing w:before="120" w:after="120"/>
              <w:rPr>
                <w:rFonts w:ascii="Times New Roman" w:hAnsi="Times New Roman" w:cs="Times New Roman"/>
              </w:rPr>
            </w:pPr>
            <w:r>
              <w:rPr>
                <w:rFonts w:ascii="Times New Roman" w:hAnsi="Times New Roman"/>
              </w:rPr>
              <w:t>0050–0060</w:t>
            </w:r>
          </w:p>
        </w:tc>
        <w:tc>
          <w:tcPr>
            <w:tcW w:w="7813" w:type="dxa"/>
          </w:tcPr>
          <w:p w14:paraId="3388E222"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Nástroje, jejichž hlavním rizikovým faktorem je akciové riziko</w:t>
            </w:r>
          </w:p>
        </w:tc>
      </w:tr>
      <w:tr w:rsidR="009B2CA6" w:rsidRPr="00037E7B" w14:paraId="615194B9" w14:textId="77777777" w:rsidTr="00723BA8">
        <w:trPr>
          <w:trHeight w:val="70"/>
        </w:trPr>
        <w:tc>
          <w:tcPr>
            <w:tcW w:w="1203" w:type="dxa"/>
          </w:tcPr>
          <w:p w14:paraId="39A575D7" w14:textId="6612F010" w:rsidR="009B2CA6" w:rsidRPr="00037E7B" w:rsidRDefault="00A17954">
            <w:pPr>
              <w:pStyle w:val="BodyText"/>
              <w:spacing w:before="120" w:after="120"/>
              <w:rPr>
                <w:rFonts w:ascii="Times New Roman" w:hAnsi="Times New Roman" w:cs="Times New Roman"/>
              </w:rPr>
            </w:pPr>
            <w:r>
              <w:rPr>
                <w:rFonts w:ascii="Times New Roman" w:hAnsi="Times New Roman"/>
              </w:rPr>
              <w:lastRenderedPageBreak/>
              <w:t>0070–0080</w:t>
            </w:r>
          </w:p>
        </w:tc>
        <w:tc>
          <w:tcPr>
            <w:tcW w:w="7813" w:type="dxa"/>
          </w:tcPr>
          <w:p w14:paraId="1BA6993E"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Nástroje, jejichž hlavním rizikovým faktorem je měnové riziko</w:t>
            </w:r>
          </w:p>
        </w:tc>
      </w:tr>
      <w:tr w:rsidR="009B2CA6" w:rsidRPr="00037E7B" w14:paraId="6C784F43" w14:textId="77777777" w:rsidTr="00723BA8">
        <w:trPr>
          <w:trHeight w:val="70"/>
        </w:trPr>
        <w:tc>
          <w:tcPr>
            <w:tcW w:w="1203" w:type="dxa"/>
          </w:tcPr>
          <w:p w14:paraId="11C355B3" w14:textId="7F907F02" w:rsidR="009B2CA6" w:rsidRPr="00037E7B" w:rsidRDefault="00A17954">
            <w:pPr>
              <w:pStyle w:val="BodyText"/>
              <w:spacing w:before="120" w:after="120"/>
              <w:rPr>
                <w:rFonts w:ascii="Times New Roman" w:hAnsi="Times New Roman" w:cs="Times New Roman"/>
              </w:rPr>
            </w:pPr>
            <w:r>
              <w:rPr>
                <w:rFonts w:ascii="Times New Roman" w:hAnsi="Times New Roman"/>
              </w:rPr>
              <w:t>0090–0100</w:t>
            </w:r>
          </w:p>
        </w:tc>
        <w:tc>
          <w:tcPr>
            <w:tcW w:w="7813" w:type="dxa"/>
          </w:tcPr>
          <w:p w14:paraId="0DBB7B5D"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Nástroje, jejichž hlavním rizikovým faktorem je komoditní riziko</w:t>
            </w:r>
          </w:p>
        </w:tc>
      </w:tr>
      <w:tr w:rsidR="009B2CA6" w:rsidRPr="00037E7B" w14:paraId="621D668A" w14:textId="77777777">
        <w:trPr>
          <w:trHeight w:val="70"/>
        </w:trPr>
        <w:tc>
          <w:tcPr>
            <w:tcW w:w="1203" w:type="dxa"/>
          </w:tcPr>
          <w:p w14:paraId="5E85AB2F" w14:textId="7FA64DA7" w:rsidR="009B2CA6" w:rsidRPr="00037E7B" w:rsidRDefault="00A17954">
            <w:pPr>
              <w:pStyle w:val="BodyText"/>
              <w:spacing w:before="120" w:after="120"/>
              <w:rPr>
                <w:rFonts w:ascii="Times New Roman" w:hAnsi="Times New Roman" w:cs="Times New Roman"/>
              </w:rPr>
            </w:pPr>
            <w:r>
              <w:rPr>
                <w:rFonts w:ascii="Times New Roman" w:hAnsi="Times New Roman"/>
              </w:rPr>
              <w:t>0110–0120</w:t>
            </w:r>
          </w:p>
        </w:tc>
        <w:tc>
          <w:tcPr>
            <w:tcW w:w="7813" w:type="dxa"/>
            <w:vAlign w:val="bottom"/>
          </w:tcPr>
          <w:p w14:paraId="05743526" w14:textId="39B8C6D0" w:rsidR="00A17954" w:rsidRPr="00037E7B" w:rsidRDefault="00D35757" w:rsidP="00A17954">
            <w:pPr>
              <w:pStyle w:val="BodyText"/>
              <w:spacing w:before="120" w:after="120"/>
              <w:rPr>
                <w:rFonts w:ascii="Times New Roman" w:hAnsi="Times New Roman" w:cs="Times New Roman"/>
                <w:b/>
                <w:u w:val="single"/>
              </w:rPr>
            </w:pPr>
            <w:r>
              <w:rPr>
                <w:rFonts w:ascii="Times New Roman" w:hAnsi="Times New Roman"/>
                <w:b/>
                <w:u w:val="single"/>
              </w:rPr>
              <w:t>Ostatní nástroje v obchodním portfoliu, včetně nástrojů, jejichž hlavním rizikovým faktorem je zbytkové riziko</w:t>
            </w:r>
          </w:p>
          <w:p w14:paraId="49050F01" w14:textId="0520CC26" w:rsidR="009B2CA6" w:rsidRPr="00723BA8" w:rsidRDefault="00D35757">
            <w:pPr>
              <w:pStyle w:val="BodyText"/>
              <w:spacing w:before="120" w:after="120"/>
              <w:rPr>
                <w:rFonts w:hint="eastAsia"/>
              </w:rPr>
            </w:pPr>
            <w:r>
              <w:t xml:space="preserve">V těchto řádcích instituce vykazují jakýkoli nástroj přiřazený do obchodního portfolia, jehož hlavní rizikový faktor není jedním z rizikových faktorů uvedených v řádcích 0030 až 0100. Tyto řádky zahrnují alespoň nástroje, jejichž hlavním rizikovým faktorem jsou zbytková rizika.  </w:t>
            </w:r>
          </w:p>
        </w:tc>
      </w:tr>
      <w:tr w:rsidR="009B2CA6" w:rsidRPr="00037E7B" w14:paraId="461D04B3" w14:textId="77777777">
        <w:trPr>
          <w:trHeight w:val="70"/>
        </w:trPr>
        <w:tc>
          <w:tcPr>
            <w:tcW w:w="1203" w:type="dxa"/>
          </w:tcPr>
          <w:p w14:paraId="1CF3996C" w14:textId="0F9E87BA" w:rsidR="009B2CA6" w:rsidRPr="00037E7B" w:rsidRDefault="00546BA6">
            <w:pPr>
              <w:pStyle w:val="BodyText"/>
              <w:spacing w:before="120" w:after="120"/>
              <w:rPr>
                <w:rFonts w:ascii="Times New Roman" w:hAnsi="Times New Roman" w:cs="Times New Roman"/>
              </w:rPr>
            </w:pPr>
            <w:r>
              <w:rPr>
                <w:rFonts w:ascii="Times New Roman" w:hAnsi="Times New Roman"/>
              </w:rPr>
              <w:t>0130–0140</w:t>
            </w:r>
          </w:p>
        </w:tc>
        <w:tc>
          <w:tcPr>
            <w:tcW w:w="7813" w:type="dxa"/>
            <w:vAlign w:val="bottom"/>
          </w:tcPr>
          <w:p w14:paraId="48517D2E" w14:textId="3ADB68D8"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 xml:space="preserve">Doplňková položka: </w:t>
            </w:r>
            <w:r w:rsidR="000E330B">
              <w:rPr>
                <w:rFonts w:ascii="Times New Roman" w:hAnsi="Times New Roman"/>
                <w:b/>
                <w:u w:val="single"/>
              </w:rPr>
              <w:t>n</w:t>
            </w:r>
            <w:r>
              <w:rPr>
                <w:rFonts w:ascii="Times New Roman" w:hAnsi="Times New Roman"/>
                <w:b/>
                <w:u w:val="single"/>
              </w:rPr>
              <w:t>ástroje klasifikované jako nástroje s obchodním účelem podle účetního rámce</w:t>
            </w:r>
          </w:p>
          <w:p w14:paraId="3A1B5873" w14:textId="2B81F1B6" w:rsidR="009B2CA6" w:rsidRPr="00037E7B" w:rsidRDefault="009B2CA6" w:rsidP="00723BA8">
            <w:pPr>
              <w:pStyle w:val="BodyText"/>
              <w:spacing w:before="120" w:after="120"/>
              <w:rPr>
                <w:rFonts w:ascii="Times New Roman" w:hAnsi="Times New Roman" w:cs="Times New Roman"/>
              </w:rPr>
            </w:pPr>
            <w:r>
              <w:rPr>
                <w:rFonts w:ascii="Times New Roman" w:hAnsi="Times New Roman"/>
              </w:rPr>
              <w:t>Ustanovení čl. 104 odst. 2 prvního pododstavce písm. d) nařízení (EU) č. 575/2013.</w:t>
            </w:r>
          </w:p>
        </w:tc>
      </w:tr>
    </w:tbl>
    <w:p w14:paraId="59860518" w14:textId="5FCC674D" w:rsidR="00AB3069" w:rsidRPr="00037E7B" w:rsidRDefault="00201582" w:rsidP="000059B8">
      <w:pPr>
        <w:pStyle w:val="Instructionsberschrift2"/>
        <w:numPr>
          <w:ilvl w:val="0"/>
          <w:numId w:val="0"/>
        </w:numPr>
        <w:ind w:left="357" w:hanging="357"/>
      </w:pPr>
      <w:bookmarkStart w:id="15" w:name="_Toc151714544"/>
      <w:r>
        <w:rPr>
          <w:rFonts w:ascii="Times New Roman" w:hAnsi="Times New Roman"/>
          <w:sz w:val="24"/>
        </w:rPr>
        <w:t xml:space="preserve">9.3 C 24.01 – Hranice obchodního portfolia – </w:t>
      </w:r>
      <w:proofErr w:type="spellStart"/>
      <w:r>
        <w:rPr>
          <w:rFonts w:ascii="Times New Roman" w:hAnsi="Times New Roman"/>
          <w:sz w:val="24"/>
        </w:rPr>
        <w:t>reklasifikace</w:t>
      </w:r>
      <w:proofErr w:type="spellEnd"/>
      <w:r>
        <w:rPr>
          <w:rFonts w:ascii="Times New Roman" w:hAnsi="Times New Roman"/>
          <w:sz w:val="24"/>
        </w:rPr>
        <w:t xml:space="preserve"> mezi portfolii (MOV)</w:t>
      </w:r>
      <w:bookmarkEnd w:id="15"/>
    </w:p>
    <w:p w14:paraId="36E171AE"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9.3.1</w:t>
      </w:r>
      <w:r>
        <w:tab/>
      </w:r>
      <w:r>
        <w:rPr>
          <w:rFonts w:ascii="Times New Roman" w:hAnsi="Times New Roman"/>
          <w:sz w:val="24"/>
          <w:u w:val="none"/>
        </w:rPr>
        <w:t>Obecné poznámky</w:t>
      </w:r>
    </w:p>
    <w:p w14:paraId="01D302B5" w14:textId="77777777" w:rsidR="00F65FA6" w:rsidRPr="00037E7B" w:rsidRDefault="00F65FA6" w:rsidP="00F65FA6">
      <w:pPr>
        <w:pStyle w:val="InstructionsText2"/>
        <w:numPr>
          <w:ilvl w:val="0"/>
          <w:numId w:val="61"/>
        </w:numPr>
        <w:spacing w:line="259" w:lineRule="auto"/>
      </w:pPr>
      <w:r>
        <w:t xml:space="preserve">Tato šablona se použije k poskytnutí informací o reklasifikaci pozic v souladu s článkem 104a nařízení (EU) č. 575/2013. </w:t>
      </w:r>
    </w:p>
    <w:p w14:paraId="171B977F" w14:textId="77777777" w:rsidR="00F65FA6" w:rsidRPr="00037E7B" w:rsidRDefault="00F65FA6" w:rsidP="00F65FA6">
      <w:pPr>
        <w:pStyle w:val="InstructionsText2"/>
        <w:numPr>
          <w:ilvl w:val="0"/>
          <w:numId w:val="61"/>
        </w:numPr>
        <w:spacing w:line="259" w:lineRule="auto"/>
      </w:pPr>
      <w:proofErr w:type="spellStart"/>
      <w:r>
        <w:t>Reklasifikace</w:t>
      </w:r>
      <w:proofErr w:type="spellEnd"/>
      <w:r>
        <w:t xml:space="preserve"> se v této šabloně vykazují pouze v těchto dvou případech:</w:t>
      </w:r>
    </w:p>
    <w:p w14:paraId="188FB065" w14:textId="1E43754D" w:rsidR="00F65FA6" w:rsidRPr="00037E7B" w:rsidRDefault="00F65FA6" w:rsidP="00F65FA6">
      <w:pPr>
        <w:pStyle w:val="InstructionsText2"/>
        <w:numPr>
          <w:ilvl w:val="1"/>
          <w:numId w:val="61"/>
        </w:numPr>
        <w:spacing w:line="259" w:lineRule="auto"/>
      </w:pPr>
      <w:r>
        <w:t>pokud příslušný orgán udělil svolení k reklasifikaci pozice v obchodním portfoliu na pozici v investičním portfoliu nebo naopak;</w:t>
      </w:r>
    </w:p>
    <w:p w14:paraId="5B6EC138" w14:textId="25B6D89E" w:rsidR="00F65FA6" w:rsidRPr="00037E7B" w:rsidRDefault="00F65FA6" w:rsidP="00F65FA6">
      <w:pPr>
        <w:pStyle w:val="InstructionsText2"/>
        <w:numPr>
          <w:ilvl w:val="1"/>
          <w:numId w:val="61"/>
        </w:numPr>
        <w:spacing w:line="259" w:lineRule="auto"/>
      </w:pPr>
      <w:r>
        <w:t xml:space="preserve">pokud </w:t>
      </w:r>
      <w:proofErr w:type="spellStart"/>
      <w:r>
        <w:t>reklasifikace</w:t>
      </w:r>
      <w:proofErr w:type="spellEnd"/>
      <w:r>
        <w:t xml:space="preserve"> splňuje podmínky stanovené v čl. 104a odst. 6 nařízení (EU) č. 575/2013 a může být provedena bez výslovného svolení příslušného orgánu.</w:t>
      </w:r>
    </w:p>
    <w:p w14:paraId="42F779D4" w14:textId="77777777" w:rsidR="00F65FA6" w:rsidRPr="00037E7B" w:rsidRDefault="00F65FA6" w:rsidP="00F65FA6">
      <w:pPr>
        <w:pStyle w:val="InstructionsText2"/>
        <w:numPr>
          <w:ilvl w:val="0"/>
          <w:numId w:val="61"/>
        </w:numPr>
        <w:spacing w:line="259" w:lineRule="auto"/>
      </w:pPr>
      <w:r>
        <w:t xml:space="preserve">V šabloně se vykazují tyto </w:t>
      </w:r>
      <w:proofErr w:type="spellStart"/>
      <w:r>
        <w:t>reklasifikované</w:t>
      </w:r>
      <w:proofErr w:type="spellEnd"/>
      <w:r>
        <w:t xml:space="preserve"> nástroje:</w:t>
      </w:r>
    </w:p>
    <w:p w14:paraId="2B0996DA" w14:textId="3EB81158" w:rsidR="00F65FA6" w:rsidRPr="00037E7B" w:rsidRDefault="00F65FA6" w:rsidP="00F65FA6">
      <w:pPr>
        <w:pStyle w:val="InstructionsText2"/>
        <w:numPr>
          <w:ilvl w:val="1"/>
          <w:numId w:val="61"/>
        </w:numPr>
        <w:spacing w:line="259" w:lineRule="auto"/>
      </w:pPr>
      <w:r>
        <w:t xml:space="preserve">nástroje </w:t>
      </w:r>
      <w:proofErr w:type="spellStart"/>
      <w:r>
        <w:t>reklasifikované</w:t>
      </w:r>
      <w:proofErr w:type="spellEnd"/>
      <w:r>
        <w:t xml:space="preserve"> během čtvrtletí, k němuž se zpráva vztahuje. Všechny nástroje </w:t>
      </w:r>
      <w:proofErr w:type="spellStart"/>
      <w:r>
        <w:t>reklasifikované</w:t>
      </w:r>
      <w:proofErr w:type="spellEnd"/>
      <w:r>
        <w:t xml:space="preserve"> během čtvrtletí se vykazují v šabloně bez ohledu na to, zda </w:t>
      </w:r>
      <w:proofErr w:type="spellStart"/>
      <w:r>
        <w:t>reklasifikace</w:t>
      </w:r>
      <w:proofErr w:type="spellEnd"/>
      <w:r>
        <w:t xml:space="preserve"> vede ke snížení kapitálových požadavků, či nikoli. Nástroj </w:t>
      </w:r>
      <w:proofErr w:type="spellStart"/>
      <w:r>
        <w:t>reklasifikovaný</w:t>
      </w:r>
      <w:proofErr w:type="spellEnd"/>
      <w:r>
        <w:t xml:space="preserve"> v průběhu čtvrtletí se vykazuje i v případě, že byl odúčtován nebo splatný mezi datem </w:t>
      </w:r>
      <w:proofErr w:type="spellStart"/>
      <w:r>
        <w:t>reklasifikace</w:t>
      </w:r>
      <w:proofErr w:type="spellEnd"/>
      <w:r>
        <w:t xml:space="preserve"> a referenčním datem zprávy;</w:t>
      </w:r>
    </w:p>
    <w:p w14:paraId="29ED050F" w14:textId="56E21CB0" w:rsidR="00F65FA6" w:rsidRPr="00037E7B" w:rsidRDefault="00F65FA6" w:rsidP="00F65FA6">
      <w:pPr>
        <w:pStyle w:val="InstructionsText2"/>
        <w:numPr>
          <w:ilvl w:val="1"/>
          <w:numId w:val="61"/>
        </w:numPr>
        <w:spacing w:line="259" w:lineRule="auto"/>
      </w:pPr>
      <w:r>
        <w:t xml:space="preserve">nástroje </w:t>
      </w:r>
      <w:proofErr w:type="spellStart"/>
      <w:r>
        <w:t>reklasifikované</w:t>
      </w:r>
      <w:proofErr w:type="spellEnd"/>
      <w:r>
        <w:t xml:space="preserve"> v předchozích vykazovaných obdobích, na něž se ke dni referenčního data zprávy stále vztahuje kapitálový požadavek podle čl. 104a odst. 3 písm. b) nařízení (EU) č. 575/2013; </w:t>
      </w:r>
    </w:p>
    <w:p w14:paraId="04E7DE74" w14:textId="0EA265BF" w:rsidR="00F65FA6" w:rsidRPr="00037E7B" w:rsidRDefault="00F65FA6" w:rsidP="00F65FA6">
      <w:pPr>
        <w:pStyle w:val="InstructionsText2"/>
        <w:numPr>
          <w:ilvl w:val="1"/>
          <w:numId w:val="61"/>
        </w:numPr>
        <w:spacing w:line="259" w:lineRule="auto"/>
      </w:pPr>
      <w:r>
        <w:lastRenderedPageBreak/>
        <w:t xml:space="preserve">nástroje </w:t>
      </w:r>
      <w:proofErr w:type="spellStart"/>
      <w:r>
        <w:t>reklasifikované</w:t>
      </w:r>
      <w:proofErr w:type="spellEnd"/>
      <w:r>
        <w:t xml:space="preserve"> v předchozích vykazovaných obdobích, na něž se vztahuje kapitálový požadavek podle čl. 104a odst. 3 písm. b) nařízení (EU) č. 575/2013 k předchozímu referenčnímu datu, pokud rozhodnutí příslušného orgánu povolit uznání snížení kapitálových požadavků nabývá účinku během čtvrtletí, k němuž se zpráva vztahuje.</w:t>
      </w:r>
    </w:p>
    <w:p w14:paraId="4E4DBEFD" w14:textId="77777777" w:rsidR="00F65FA6" w:rsidRPr="00037E7B" w:rsidRDefault="00F65FA6" w:rsidP="00F65FA6">
      <w:pPr>
        <w:pStyle w:val="InstructionsText2"/>
        <w:numPr>
          <w:ilvl w:val="0"/>
          <w:numId w:val="61"/>
        </w:numPr>
        <w:spacing w:line="259" w:lineRule="auto"/>
      </w:pPr>
      <w:r>
        <w:t xml:space="preserve">Instituce vykazují informace o reklasifikaci zvlášť pro každý nástroj, který byl </w:t>
      </w:r>
      <w:proofErr w:type="spellStart"/>
      <w:r>
        <w:t>reklasifikován</w:t>
      </w:r>
      <w:proofErr w:type="spellEnd"/>
      <w:r>
        <w:t>.</w:t>
      </w:r>
    </w:p>
    <w:p w14:paraId="17A4C841" w14:textId="77777777" w:rsidR="00F65FA6" w:rsidRPr="00037E7B" w:rsidDel="00BC604C" w:rsidRDefault="00F65FA6" w:rsidP="00F65FA6">
      <w:pPr>
        <w:pStyle w:val="InstructionsText2"/>
        <w:numPr>
          <w:ilvl w:val="0"/>
          <w:numId w:val="61"/>
        </w:numPr>
        <w:spacing w:line="259" w:lineRule="auto"/>
      </w:pPr>
      <w:r>
        <w:t xml:space="preserve">Pole „kompenzační skupina“ se použije k označení kompenzační skupiny, která zahrnuje subjekt, který pozici držel k referenčnímu datu nebo případně k datu splatnosti nebo odúčtování. </w:t>
      </w:r>
    </w:p>
    <w:p w14:paraId="27A31F03"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9.3.2</w:t>
      </w:r>
      <w:r>
        <w:tab/>
      </w:r>
      <w:r>
        <w:rPr>
          <w:rFonts w:ascii="Times New Roman" w:hAnsi="Times New Roman"/>
          <w:sz w:val="24"/>
          <w:u w:val="none"/>
        </w:rPr>
        <w:t>Pokyny pro konkrétní pozice</w:t>
      </w:r>
    </w:p>
    <w:tbl>
      <w:tblPr>
        <w:tblStyle w:val="TableGrid"/>
        <w:tblW w:w="0" w:type="auto"/>
        <w:tblLook w:val="04A0" w:firstRow="1" w:lastRow="0" w:firstColumn="1" w:lastColumn="0" w:noHBand="0" w:noVBand="1"/>
      </w:tblPr>
      <w:tblGrid>
        <w:gridCol w:w="1203"/>
        <w:gridCol w:w="7813"/>
      </w:tblGrid>
      <w:tr w:rsidR="00F65FA6" w:rsidRPr="00037E7B" w14:paraId="4E787111" w14:textId="77777777" w:rsidTr="00E02007">
        <w:tc>
          <w:tcPr>
            <w:tcW w:w="1203" w:type="dxa"/>
            <w:shd w:val="clear" w:color="auto" w:fill="BFBFBF" w:themeFill="background1" w:themeFillShade="BF"/>
          </w:tcPr>
          <w:p w14:paraId="37E96ED0"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Sloupec</w:t>
            </w:r>
          </w:p>
        </w:tc>
        <w:tc>
          <w:tcPr>
            <w:tcW w:w="7813" w:type="dxa"/>
            <w:shd w:val="clear" w:color="auto" w:fill="BFBFBF" w:themeFill="background1" w:themeFillShade="BF"/>
          </w:tcPr>
          <w:p w14:paraId="114CE84C"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Odkazy na právní předpisy a pokyny</w:t>
            </w:r>
          </w:p>
        </w:tc>
      </w:tr>
      <w:tr w:rsidR="00F65FA6" w:rsidRPr="00037E7B" w14:paraId="7804A6AA" w14:textId="77777777" w:rsidTr="00E02007">
        <w:trPr>
          <w:trHeight w:val="1408"/>
        </w:trPr>
        <w:tc>
          <w:tcPr>
            <w:tcW w:w="1203" w:type="dxa"/>
          </w:tcPr>
          <w:p w14:paraId="7D96819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11F7B8E9"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Identifikační číslo </w:t>
            </w:r>
            <w:proofErr w:type="spellStart"/>
            <w:r>
              <w:rPr>
                <w:rFonts w:ascii="Times New Roman" w:hAnsi="Times New Roman"/>
                <w:b/>
                <w:u w:val="single"/>
              </w:rPr>
              <w:t>reklasifikace</w:t>
            </w:r>
            <w:proofErr w:type="spellEnd"/>
          </w:p>
          <w:p w14:paraId="677D77C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Interní (alfanumerický) kód používaný vykazující jednotkou k identifikaci </w:t>
            </w:r>
            <w:proofErr w:type="spellStart"/>
            <w:r>
              <w:rPr>
                <w:rFonts w:ascii="Times New Roman" w:hAnsi="Times New Roman"/>
              </w:rPr>
              <w:t>reklasifikovaného</w:t>
            </w:r>
            <w:proofErr w:type="spellEnd"/>
            <w:r>
              <w:rPr>
                <w:rFonts w:ascii="Times New Roman" w:hAnsi="Times New Roman"/>
              </w:rPr>
              <w:t xml:space="preserve"> nástroje nebo případně </w:t>
            </w:r>
            <w:proofErr w:type="spellStart"/>
            <w:r>
              <w:rPr>
                <w:rFonts w:ascii="Times New Roman" w:hAnsi="Times New Roman"/>
              </w:rPr>
              <w:t>reklasifikace</w:t>
            </w:r>
            <w:proofErr w:type="spellEnd"/>
            <w:r>
              <w:rPr>
                <w:rFonts w:ascii="Times New Roman" w:hAnsi="Times New Roman"/>
              </w:rPr>
              <w:t>.</w:t>
            </w:r>
          </w:p>
          <w:p w14:paraId="5368921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Každá </w:t>
            </w:r>
            <w:proofErr w:type="spellStart"/>
            <w:r>
              <w:rPr>
                <w:rFonts w:ascii="Times New Roman" w:hAnsi="Times New Roman"/>
              </w:rPr>
              <w:t>reklasifikace</w:t>
            </w:r>
            <w:proofErr w:type="spellEnd"/>
            <w:r>
              <w:rPr>
                <w:rFonts w:ascii="Times New Roman" w:hAnsi="Times New Roman"/>
              </w:rPr>
              <w:t xml:space="preserve"> musí být spojena s jiným identifikačním kódem </w:t>
            </w:r>
            <w:proofErr w:type="spellStart"/>
            <w:r>
              <w:rPr>
                <w:rFonts w:ascii="Times New Roman" w:hAnsi="Times New Roman"/>
              </w:rPr>
              <w:t>reklasifikace</w:t>
            </w:r>
            <w:proofErr w:type="spellEnd"/>
            <w:r>
              <w:rPr>
                <w:rFonts w:ascii="Times New Roman" w:hAnsi="Times New Roman"/>
              </w:rPr>
              <w:t xml:space="preserve">. Identifikační kód </w:t>
            </w:r>
            <w:proofErr w:type="spellStart"/>
            <w:r>
              <w:rPr>
                <w:rFonts w:ascii="Times New Roman" w:hAnsi="Times New Roman"/>
              </w:rPr>
              <w:t>reklasifikace</w:t>
            </w:r>
            <w:proofErr w:type="spellEnd"/>
            <w:r>
              <w:rPr>
                <w:rFonts w:ascii="Times New Roman" w:hAnsi="Times New Roman"/>
              </w:rPr>
              <w:t xml:space="preserve"> přidělený jedné a téže reklasifikaci musí být jedinečný a musí být používán konzistentně v průběhu času a napříč zprávami.</w:t>
            </w:r>
          </w:p>
          <w:p w14:paraId="6DB947C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Je to identifikátor řádku a musí být jedinečný pro každý řádek šablony.</w:t>
            </w:r>
          </w:p>
        </w:tc>
      </w:tr>
      <w:tr w:rsidR="00F65FA6" w:rsidRPr="00037E7B" w14:paraId="59ECF46A" w14:textId="77777777" w:rsidTr="00E02007">
        <w:tc>
          <w:tcPr>
            <w:tcW w:w="1203" w:type="dxa"/>
          </w:tcPr>
          <w:p w14:paraId="657AB94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3022937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Typ nástroje</w:t>
            </w:r>
          </w:p>
          <w:p w14:paraId="397FF85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Stručný popis </w:t>
            </w:r>
            <w:proofErr w:type="spellStart"/>
            <w:r>
              <w:rPr>
                <w:rFonts w:ascii="Times New Roman" w:hAnsi="Times New Roman"/>
              </w:rPr>
              <w:t>reklasifikovaného</w:t>
            </w:r>
            <w:proofErr w:type="spellEnd"/>
            <w:r>
              <w:rPr>
                <w:rFonts w:ascii="Times New Roman" w:hAnsi="Times New Roman"/>
              </w:rPr>
              <w:t xml:space="preserve"> nástroje, který umožní pochopit povahu a hlavní charakteristiky </w:t>
            </w:r>
            <w:proofErr w:type="spellStart"/>
            <w:r>
              <w:rPr>
                <w:rFonts w:ascii="Times New Roman" w:hAnsi="Times New Roman"/>
              </w:rPr>
              <w:t>reklasifikovaného</w:t>
            </w:r>
            <w:proofErr w:type="spellEnd"/>
            <w:r>
              <w:rPr>
                <w:rFonts w:ascii="Times New Roman" w:hAnsi="Times New Roman"/>
              </w:rPr>
              <w:t xml:space="preserve"> nástroje. </w:t>
            </w:r>
          </w:p>
          <w:p w14:paraId="7D66558D"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Pokud má </w:t>
            </w:r>
            <w:proofErr w:type="spellStart"/>
            <w:r>
              <w:rPr>
                <w:rFonts w:ascii="Times New Roman" w:hAnsi="Times New Roman"/>
              </w:rPr>
              <w:t>reklasifikovaný</w:t>
            </w:r>
            <w:proofErr w:type="spellEnd"/>
            <w:r>
              <w:rPr>
                <w:rFonts w:ascii="Times New Roman" w:hAnsi="Times New Roman"/>
              </w:rPr>
              <w:t xml:space="preserve"> nástroj mezinárodní identifikační číslo cenného papíru (ISIN), uvede se do popisu kromě hlavních rysů nástroje i ISIN. </w:t>
            </w:r>
          </w:p>
        </w:tc>
      </w:tr>
      <w:tr w:rsidR="00F65FA6" w:rsidRPr="00037E7B" w14:paraId="4307D827" w14:textId="77777777" w:rsidTr="00E02007">
        <w:tc>
          <w:tcPr>
            <w:tcW w:w="1203" w:type="dxa"/>
          </w:tcPr>
          <w:p w14:paraId="7269597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0030</w:t>
            </w:r>
          </w:p>
        </w:tc>
        <w:tc>
          <w:tcPr>
            <w:tcW w:w="7813" w:type="dxa"/>
            <w:vAlign w:val="bottom"/>
          </w:tcPr>
          <w:p w14:paraId="4E9993E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Regulatorní portfolio, z něhož byl nástroj </w:t>
            </w:r>
            <w:proofErr w:type="spellStart"/>
            <w:r>
              <w:rPr>
                <w:rFonts w:ascii="Times New Roman" w:hAnsi="Times New Roman"/>
                <w:b/>
                <w:u w:val="single"/>
              </w:rPr>
              <w:t>reklasifikován</w:t>
            </w:r>
            <w:proofErr w:type="spellEnd"/>
          </w:p>
          <w:p w14:paraId="74CBD9F5"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Uvede se jedna z těchto dvou možností:</w:t>
            </w:r>
          </w:p>
          <w:p w14:paraId="4B75926D"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Obchodní portfolio</w:t>
            </w:r>
            <w:r>
              <w:t xml:space="preserve"> </w:t>
            </w:r>
            <w:r>
              <w:br/>
            </w:r>
            <w:r>
              <w:rPr>
                <w:rFonts w:ascii="Times New Roman" w:hAnsi="Times New Roman"/>
              </w:rPr>
              <w:t>Ustanovení čl. 4 odst. 1 bodu 86 nařízení (EU) č. 575/2013</w:t>
            </w:r>
          </w:p>
          <w:p w14:paraId="787F3457"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 xml:space="preserve">Investiční portfolio </w:t>
            </w:r>
            <w:r>
              <w:t xml:space="preserve"> </w:t>
            </w:r>
            <w:r>
              <w:br/>
            </w:r>
            <w:r>
              <w:rPr>
                <w:rFonts w:ascii="Times New Roman" w:hAnsi="Times New Roman"/>
              </w:rPr>
              <w:t>Skládá se ze všech pozic, které nejsou zahrnuty do obchodního portfolia.</w:t>
            </w:r>
          </w:p>
        </w:tc>
      </w:tr>
      <w:tr w:rsidR="00F65FA6" w:rsidRPr="00037E7B" w14:paraId="47BC0AA3" w14:textId="77777777" w:rsidTr="00E02007">
        <w:tc>
          <w:tcPr>
            <w:tcW w:w="1203" w:type="dxa"/>
          </w:tcPr>
          <w:p w14:paraId="1EFC356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0040</w:t>
            </w:r>
          </w:p>
        </w:tc>
        <w:tc>
          <w:tcPr>
            <w:tcW w:w="7813" w:type="dxa"/>
            <w:vAlign w:val="bottom"/>
          </w:tcPr>
          <w:p w14:paraId="4C994CB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Regulatorní portfolio, do něhož byl nástroj </w:t>
            </w:r>
            <w:proofErr w:type="spellStart"/>
            <w:r>
              <w:rPr>
                <w:rFonts w:ascii="Times New Roman" w:hAnsi="Times New Roman"/>
                <w:b/>
                <w:u w:val="single"/>
              </w:rPr>
              <w:t>reklasifikován</w:t>
            </w:r>
            <w:proofErr w:type="spellEnd"/>
          </w:p>
          <w:p w14:paraId="3021E1D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Uvede se jedna z těchto dvou možností:</w:t>
            </w:r>
          </w:p>
          <w:p w14:paraId="1EE13C7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lastRenderedPageBreak/>
              <w:t>Obchodní portfolio</w:t>
            </w:r>
            <w:r>
              <w:t xml:space="preserve"> </w:t>
            </w:r>
            <w:r>
              <w:br/>
            </w:r>
            <w:r>
              <w:rPr>
                <w:rFonts w:ascii="Times New Roman" w:hAnsi="Times New Roman"/>
              </w:rPr>
              <w:t>Ustanovení čl. 4 odst. 1 bodu 86 nařízení (EU) č. 575/2013</w:t>
            </w:r>
          </w:p>
          <w:p w14:paraId="41D9486B"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Investiční portfolio</w:t>
            </w:r>
            <w:r>
              <w:t xml:space="preserve"> </w:t>
            </w:r>
            <w:r>
              <w:br/>
            </w:r>
            <w:r>
              <w:rPr>
                <w:rFonts w:ascii="Times New Roman" w:hAnsi="Times New Roman"/>
              </w:rPr>
              <w:t>Skládá se ze všech pozic, které nejsou zahrnuty do obchodního portfolia.</w:t>
            </w:r>
          </w:p>
        </w:tc>
      </w:tr>
      <w:tr w:rsidR="00F65FA6" w:rsidRPr="00037E7B" w14:paraId="14476FEB" w14:textId="77777777" w:rsidTr="00E02007">
        <w:tc>
          <w:tcPr>
            <w:tcW w:w="1203" w:type="dxa"/>
          </w:tcPr>
          <w:p w14:paraId="13F0D9EC"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0050</w:t>
            </w:r>
          </w:p>
        </w:tc>
        <w:tc>
          <w:tcPr>
            <w:tcW w:w="7813" w:type="dxa"/>
            <w:vAlign w:val="bottom"/>
          </w:tcPr>
          <w:p w14:paraId="19E4E9E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Důvod </w:t>
            </w:r>
            <w:proofErr w:type="spellStart"/>
            <w:r>
              <w:rPr>
                <w:rFonts w:ascii="Times New Roman" w:hAnsi="Times New Roman"/>
                <w:b/>
                <w:u w:val="single"/>
              </w:rPr>
              <w:t>reklasifikace</w:t>
            </w:r>
            <w:proofErr w:type="spellEnd"/>
          </w:p>
          <w:p w14:paraId="7DED50F3"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Musí být vysvětleny výjimečné okolnosti vedoucí k přeřazení pozice mezi regulatorními portfolii. Vysvětlení uvedené v této buňce musí být dostatečně podrobné, aby doložilo, proč je </w:t>
            </w:r>
            <w:proofErr w:type="spellStart"/>
            <w:r>
              <w:rPr>
                <w:rFonts w:ascii="Times New Roman" w:hAnsi="Times New Roman"/>
              </w:rPr>
              <w:t>reklasifikace</w:t>
            </w:r>
            <w:proofErr w:type="spellEnd"/>
            <w:r>
              <w:rPr>
                <w:rFonts w:ascii="Times New Roman" w:hAnsi="Times New Roman"/>
              </w:rPr>
              <w:t xml:space="preserve"> považována za výjimečnou okolnost.</w:t>
            </w:r>
          </w:p>
        </w:tc>
      </w:tr>
      <w:tr w:rsidR="00F65FA6" w:rsidRPr="00037E7B" w14:paraId="490381CE" w14:textId="77777777" w:rsidTr="00E02007">
        <w:tc>
          <w:tcPr>
            <w:tcW w:w="1203" w:type="dxa"/>
          </w:tcPr>
          <w:p w14:paraId="139D44B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0060</w:t>
            </w:r>
          </w:p>
        </w:tc>
        <w:tc>
          <w:tcPr>
            <w:tcW w:w="7813" w:type="dxa"/>
            <w:vAlign w:val="bottom"/>
          </w:tcPr>
          <w:p w14:paraId="1362F39C"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Předchozí svolení (stav)</w:t>
            </w:r>
          </w:p>
          <w:p w14:paraId="56285F31"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Ustanovení čl. 104a odst. 2 a 6 nařízení (EU) č. 575/2013</w:t>
            </w:r>
          </w:p>
          <w:p w14:paraId="65D8CB7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Pokud se nevyžaduje předchozí svolení příslušného orgánu podle čl. 104a odst. 6 nařízení (EU) č. 575/2013, instituce v tomto sloupci uvedou „Není vyžadováno předchozí svolení“. Vyžaduje-li se předchozí povolení a bylo-li získáno, uvede se „Bylo získáno předchozí svolení“.</w:t>
            </w:r>
          </w:p>
        </w:tc>
      </w:tr>
      <w:tr w:rsidR="00F65FA6" w:rsidRPr="00037E7B" w14:paraId="78F1574B" w14:textId="77777777" w:rsidTr="00E02007">
        <w:tc>
          <w:tcPr>
            <w:tcW w:w="1203" w:type="dxa"/>
          </w:tcPr>
          <w:p w14:paraId="26979E4B"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0070</w:t>
            </w:r>
          </w:p>
        </w:tc>
        <w:tc>
          <w:tcPr>
            <w:tcW w:w="7813" w:type="dxa"/>
            <w:vAlign w:val="bottom"/>
          </w:tcPr>
          <w:p w14:paraId="21A070A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Datum </w:t>
            </w:r>
            <w:proofErr w:type="spellStart"/>
            <w:r>
              <w:rPr>
                <w:rFonts w:ascii="Times New Roman" w:hAnsi="Times New Roman"/>
                <w:b/>
                <w:u w:val="single"/>
              </w:rPr>
              <w:t>reklasifikace</w:t>
            </w:r>
            <w:proofErr w:type="spellEnd"/>
          </w:p>
          <w:p w14:paraId="230E5C2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Ustanovení čl. 104a odst. 2 a 6 první věty nařízení (EU) č. 575/2013</w:t>
            </w:r>
          </w:p>
        </w:tc>
      </w:tr>
      <w:tr w:rsidR="00F65FA6" w:rsidRPr="00037E7B" w14:paraId="0E22B962" w14:textId="77777777" w:rsidTr="00E02007">
        <w:tc>
          <w:tcPr>
            <w:tcW w:w="1203" w:type="dxa"/>
          </w:tcPr>
          <w:p w14:paraId="5DAEDB5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0080</w:t>
            </w:r>
          </w:p>
        </w:tc>
        <w:tc>
          <w:tcPr>
            <w:tcW w:w="7813" w:type="dxa"/>
            <w:vAlign w:val="bottom"/>
          </w:tcPr>
          <w:p w14:paraId="1822A08F"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Čisté (+) zvýšení nebo (−) snížení kapitálových požadavků vyplývající z </w:t>
            </w:r>
            <w:proofErr w:type="spellStart"/>
            <w:r>
              <w:rPr>
                <w:rFonts w:ascii="Times New Roman" w:hAnsi="Times New Roman"/>
                <w:b/>
                <w:u w:val="single"/>
              </w:rPr>
              <w:t>reklasifikace</w:t>
            </w:r>
            <w:proofErr w:type="spellEnd"/>
          </w:p>
          <w:p w14:paraId="037647A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Čistá změna výše kapitálových požadavků vyplývající z </w:t>
            </w:r>
            <w:proofErr w:type="spellStart"/>
            <w:r>
              <w:rPr>
                <w:rFonts w:ascii="Times New Roman" w:hAnsi="Times New Roman"/>
              </w:rPr>
              <w:t>reklasifikace</w:t>
            </w:r>
            <w:proofErr w:type="spellEnd"/>
            <w:r>
              <w:rPr>
                <w:rFonts w:ascii="Times New Roman" w:hAnsi="Times New Roman"/>
              </w:rPr>
              <w:t xml:space="preserve"> pozice vypočtená v souladu s čl. 104a odst. 4 nařízení (EU) č. 575/2013</w:t>
            </w:r>
          </w:p>
          <w:p w14:paraId="6BA75988"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Zvýšení kapitálových požadavků vyplývající z </w:t>
            </w:r>
            <w:proofErr w:type="spellStart"/>
            <w:r>
              <w:rPr>
                <w:rFonts w:ascii="Times New Roman" w:hAnsi="Times New Roman"/>
              </w:rPr>
              <w:t>reklasifikace</w:t>
            </w:r>
            <w:proofErr w:type="spellEnd"/>
            <w:r>
              <w:rPr>
                <w:rFonts w:ascii="Times New Roman" w:hAnsi="Times New Roman"/>
              </w:rPr>
              <w:t xml:space="preserve"> se vykazuje s kladným znaménkem (+), zatímco snížení kapitálových požadavků se vykazuje se záporným (–) znaménkem.</w:t>
            </w:r>
          </w:p>
        </w:tc>
      </w:tr>
      <w:tr w:rsidR="00F65FA6" w:rsidRPr="00037E7B" w14:paraId="22693EF8" w14:textId="77777777" w:rsidTr="00E02007">
        <w:tc>
          <w:tcPr>
            <w:tcW w:w="1203" w:type="dxa"/>
          </w:tcPr>
          <w:p w14:paraId="652EAB8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0090</w:t>
            </w:r>
          </w:p>
        </w:tc>
        <w:tc>
          <w:tcPr>
            <w:tcW w:w="7813" w:type="dxa"/>
            <w:vAlign w:val="bottom"/>
          </w:tcPr>
          <w:p w14:paraId="4A786750"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Navýšení kapitálových požadavků v důsledku </w:t>
            </w:r>
            <w:proofErr w:type="spellStart"/>
            <w:r>
              <w:rPr>
                <w:rFonts w:ascii="Times New Roman" w:hAnsi="Times New Roman"/>
                <w:b/>
                <w:u w:val="single"/>
              </w:rPr>
              <w:t>reklasifikace</w:t>
            </w:r>
            <w:proofErr w:type="spellEnd"/>
            <w:r>
              <w:rPr>
                <w:rFonts w:ascii="Times New Roman" w:hAnsi="Times New Roman"/>
                <w:b/>
                <w:u w:val="single"/>
              </w:rPr>
              <w:t xml:space="preserve"> </w:t>
            </w:r>
          </w:p>
          <w:p w14:paraId="08204427"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Pokud čistá změna výše kapitálových požadavků vyplývající z </w:t>
            </w:r>
            <w:proofErr w:type="spellStart"/>
            <w:r>
              <w:rPr>
                <w:rFonts w:ascii="Times New Roman" w:hAnsi="Times New Roman"/>
              </w:rPr>
              <w:t>reklasifikace</w:t>
            </w:r>
            <w:proofErr w:type="spellEnd"/>
            <w:r>
              <w:rPr>
                <w:rFonts w:ascii="Times New Roman" w:hAnsi="Times New Roman"/>
              </w:rPr>
              <w:t xml:space="preserve"> pozice vypočtená v souladu s čl. 104a odst. 4 nařízení (EU) č. 575/2013 představuje snížení kapitálových požadavků instituce a příslušný orgán nesvolil k uznání tohoto snížení v souladu s čl. 104a odst. 3 písm. b) nařízení (EU) č. 575/2013, vykáže se výše snížení s kladným znaménkem. Částka takto představuje navýšení kapitálových požadavků pro danou reklasifikaci.</w:t>
            </w:r>
          </w:p>
          <w:p w14:paraId="58E348B5"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Pokud příslušný orgán svolil k uznání snížení kapitálových požadavků v souladu s čl. 104a odst. 3 písm. b) nařízení (EU) č. 575/2013, ponechá se tento sloupec prázdný.</w:t>
            </w:r>
          </w:p>
        </w:tc>
      </w:tr>
      <w:tr w:rsidR="00F65FA6" w:rsidRPr="00037E7B" w14:paraId="33A66CF2" w14:textId="77777777" w:rsidTr="00E02007">
        <w:tc>
          <w:tcPr>
            <w:tcW w:w="1203" w:type="dxa"/>
          </w:tcPr>
          <w:p w14:paraId="3AA16332"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0100</w:t>
            </w:r>
          </w:p>
        </w:tc>
        <w:tc>
          <w:tcPr>
            <w:tcW w:w="7813" w:type="dxa"/>
            <w:vAlign w:val="bottom"/>
          </w:tcPr>
          <w:p w14:paraId="5C674A5B"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Datum splatnosti nebo předpokládaného odúčtování nástroje</w:t>
            </w:r>
          </w:p>
          <w:p w14:paraId="019C730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Pokud se nepředpokládá odúčtování, vykazuje se splatnost nástroje. </w:t>
            </w:r>
          </w:p>
          <w:p w14:paraId="69F6AC70"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Pokud se předpokládá, že nástroj bude odúčtován před svou splatností, vykáže se datum tohoto plánovaného odúčtování.</w:t>
            </w:r>
          </w:p>
          <w:p w14:paraId="3742220D"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Pokud je znám pouze měsíc a rok splatnosti nebo odúčtování, vykazuje se datum splatnosti nebo předpokládaného odúčtování nástroje jako poslední den měsíce. Pokud je znám pouze rok odúčtování, vykazuje se datum splatnosti nebo předpokládaného odúčtování jako 31. prosinec daného roku.</w:t>
            </w:r>
          </w:p>
          <w:p w14:paraId="7F211819"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Pokud datum splatnosti nebo předpokládaného odúčtování nástroje nelze určit nebo není známo, uvede se v tomto sloupci datum 31. prosince 9999. </w:t>
            </w:r>
          </w:p>
        </w:tc>
      </w:tr>
      <w:tr w:rsidR="00F65FA6" w:rsidRPr="00FE3C59" w14:paraId="0A30C5DF" w14:textId="77777777" w:rsidTr="00E02007">
        <w:tc>
          <w:tcPr>
            <w:tcW w:w="1203" w:type="dxa"/>
          </w:tcPr>
          <w:p w14:paraId="12AE4F1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0110</w:t>
            </w:r>
          </w:p>
        </w:tc>
        <w:tc>
          <w:tcPr>
            <w:tcW w:w="7813" w:type="dxa"/>
            <w:vAlign w:val="bottom"/>
          </w:tcPr>
          <w:p w14:paraId="441DE52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Datum, od kterého příslušný orgán povoluje uznat snížení kapitálových požadavků</w:t>
            </w:r>
          </w:p>
          <w:p w14:paraId="49ECC5E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Ustanovení čl. 104a odst. 3 písm. b) nařízení (EU) č. 575/2013</w:t>
            </w:r>
          </w:p>
          <w:p w14:paraId="1B724794" w14:textId="77777777" w:rsidR="00F65FA6" w:rsidRPr="00FE3C59"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Pokud </w:t>
            </w:r>
            <w:proofErr w:type="spellStart"/>
            <w:r>
              <w:rPr>
                <w:rFonts w:ascii="Times New Roman" w:hAnsi="Times New Roman"/>
              </w:rPr>
              <w:t>reklasifikace</w:t>
            </w:r>
            <w:proofErr w:type="spellEnd"/>
            <w:r>
              <w:rPr>
                <w:rFonts w:ascii="Times New Roman" w:hAnsi="Times New Roman"/>
              </w:rPr>
              <w:t xml:space="preserve"> vedla k čistému zvýšení kapitálových požadavků a pokud příslušný orgán nepovolil uznat snížení kapitálových požadavků, neuvede se žádné datum.“</w:t>
            </w:r>
          </w:p>
        </w:tc>
      </w:tr>
    </w:tbl>
    <w:p w14:paraId="0C23ABF8" w14:textId="77777777" w:rsidR="00F65FA6" w:rsidRPr="00F13966" w:rsidRDefault="00F65FA6" w:rsidP="00F65FA6">
      <w:pPr>
        <w:pStyle w:val="body"/>
        <w:rPr>
          <w:rFonts w:ascii="Times New Roman" w:hAnsi="Times New Roman" w:cs="Times New Roman"/>
        </w:rPr>
      </w:pPr>
    </w:p>
    <w:p w14:paraId="18DC5971" w14:textId="77777777" w:rsidR="00522E00" w:rsidRPr="00F13966" w:rsidRDefault="00522E00" w:rsidP="00F65FA6">
      <w:pPr>
        <w:pStyle w:val="body"/>
        <w:rPr>
          <w:rStyle w:val="InstructionsTabelleText"/>
          <w:rFonts w:ascii="Times New Roman" w:hAnsi="Times New Roman"/>
          <w:sz w:val="24"/>
        </w:rPr>
      </w:pPr>
    </w:p>
    <w:sectPr w:rsidR="00522E00" w:rsidRPr="00F13966"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5C94EEF2"/>
    <w:lvl w:ilvl="0">
      <w:start w:val="208"/>
      <w:numFmt w:val="decimal"/>
      <w:lvlText w:val="%1."/>
      <w:lvlJc w:val="left"/>
      <w:pPr>
        <w:ind w:left="1353" w:hanging="360"/>
      </w:pPr>
      <w:rPr>
        <w:rFonts w:hint="default"/>
      </w:rPr>
    </w:lvl>
    <w:lvl w:ilvl="1">
      <w:start w:val="1"/>
      <w:numFmt w:val="lowerLetter"/>
      <w:lvlText w:val="%2)"/>
      <w:lvlJc w:val="left"/>
      <w:pPr>
        <w:ind w:left="2073" w:hanging="360"/>
      </w:p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cs-CZ"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30B"/>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0343"/>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966"/>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cs-CZ"/>
    </w:rPr>
  </w:style>
  <w:style w:type="character" w:customStyle="1" w:styleId="Heading2Char">
    <w:name w:val="Heading 2 Char"/>
    <w:link w:val="Heading2"/>
    <w:uiPriority w:val="99"/>
    <w:locked/>
    <w:rsid w:val="00EC5046"/>
    <w:rPr>
      <w:rFonts w:ascii="Verdana" w:hAnsi="Verdana" w:cs="Times New Roman"/>
      <w:b/>
      <w:sz w:val="24"/>
      <w:szCs w:val="24"/>
      <w:u w:val="single"/>
      <w:lang w:val="cs-CZ"/>
    </w:rPr>
  </w:style>
  <w:style w:type="character" w:customStyle="1" w:styleId="Heading3Char">
    <w:name w:val="Heading 3 Char"/>
    <w:aliases w:val="Title 2 Char"/>
    <w:uiPriority w:val="99"/>
    <w:locked/>
    <w:rsid w:val="00884FEB"/>
    <w:rPr>
      <w:rFonts w:cs="Times New Roman"/>
      <w:sz w:val="24"/>
      <w:szCs w:val="24"/>
      <w:lang w:val="cs-CZ"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cs-CZ"/>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cs-CZ"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cs-CZ"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cs-CZ"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cs-CZ"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cs-CZ"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A322B71E-E8E1-4D61-B42D-94C0851FF12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9</Pages>
  <Words>2258</Words>
  <Characters>13163</Characters>
  <Application>Microsoft Office Word</Application>
  <DocSecurity>0</DocSecurity>
  <Lines>365</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YAGHMOUROVA Zita (DGT)</cp:lastModifiedBy>
  <cp:revision>7</cp:revision>
  <dcterms:created xsi:type="dcterms:W3CDTF">2024-06-19T18:09:00Z</dcterms:created>
  <dcterms:modified xsi:type="dcterms:W3CDTF">2024-12-09T14:23:00Z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2024-11-14T14:54:16Z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8a6e14e1-e665-4803-96b7-2e6c89d36b39</vt:lpwstr>
  </property>
  <property fmtid="{D5CDD505-2E9C-101B-9397-08002B2CF9AE}" pid="9" name="MSIP_Label_6bd9ddd1-4d20-43f6-abfa-fc3c07406f94_ContentBits">
    <vt:lpwstr>0</vt:lpwstr>
  </property>
</Properties>
</file>